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469F" w14:textId="7D6AFE54" w:rsidR="001113BD" w:rsidRPr="001A3662" w:rsidRDefault="00993C80" w:rsidP="00BB40A2">
      <w:pPr>
        <w:spacing w:line="240" w:lineRule="auto"/>
        <w:jc w:val="center"/>
        <w:rPr>
          <w:b/>
          <w:bCs/>
          <w:i/>
          <w:iCs/>
          <w:sz w:val="24"/>
          <w:szCs w:val="24"/>
        </w:rPr>
      </w:pPr>
      <w:r w:rsidRPr="001A3662">
        <w:rPr>
          <w:b/>
          <w:bCs/>
          <w:i/>
          <w:iCs/>
          <w:sz w:val="24"/>
          <w:szCs w:val="24"/>
        </w:rPr>
        <w:t>Sample</w:t>
      </w:r>
      <w:r w:rsidR="00E24E07" w:rsidRPr="001A3662">
        <w:rPr>
          <w:b/>
          <w:bCs/>
          <w:i/>
          <w:iCs/>
          <w:sz w:val="24"/>
          <w:szCs w:val="24"/>
        </w:rPr>
        <w:t xml:space="preserve"> Letter </w:t>
      </w:r>
      <w:r w:rsidR="00434786">
        <w:rPr>
          <w:b/>
          <w:bCs/>
          <w:i/>
          <w:iCs/>
          <w:sz w:val="24"/>
          <w:szCs w:val="24"/>
        </w:rPr>
        <w:t xml:space="preserve">of Appeal </w:t>
      </w:r>
      <w:r w:rsidR="00E24E07" w:rsidRPr="001A3662">
        <w:rPr>
          <w:b/>
          <w:bCs/>
          <w:i/>
          <w:iCs/>
          <w:sz w:val="24"/>
          <w:szCs w:val="24"/>
        </w:rPr>
        <w:t>for EOHILIA</w:t>
      </w:r>
      <w:r w:rsidR="00717BAC" w:rsidRPr="001A3662">
        <w:rPr>
          <w:rFonts w:cstheme="minorHAnsi"/>
          <w:b/>
          <w:bCs/>
          <w:i/>
          <w:iCs/>
          <w:sz w:val="24"/>
          <w:szCs w:val="24"/>
        </w:rPr>
        <w:t>™</w:t>
      </w:r>
      <w:r w:rsidR="00E24E07" w:rsidRPr="001A3662">
        <w:rPr>
          <w:b/>
          <w:bCs/>
          <w:i/>
          <w:iCs/>
          <w:sz w:val="24"/>
          <w:szCs w:val="24"/>
        </w:rPr>
        <w:t xml:space="preserve"> </w:t>
      </w:r>
      <w:r w:rsidR="00717BAC" w:rsidRPr="001A3662">
        <w:rPr>
          <w:b/>
          <w:bCs/>
          <w:i/>
          <w:iCs/>
          <w:sz w:val="24"/>
          <w:szCs w:val="24"/>
        </w:rPr>
        <w:t>(budesonide oral suspension)</w:t>
      </w:r>
    </w:p>
    <w:p w14:paraId="656DE064" w14:textId="2E295BE8" w:rsidR="0055545B" w:rsidRDefault="00A54905" w:rsidP="00A54905">
      <w:pPr>
        <w:spacing w:line="240" w:lineRule="auto"/>
        <w:jc w:val="center"/>
        <w:rPr>
          <w:sz w:val="20"/>
          <w:szCs w:val="20"/>
        </w:rPr>
      </w:pPr>
      <w:r>
        <w:rPr>
          <w:sz w:val="20"/>
          <w:szCs w:val="20"/>
        </w:rPr>
        <w:t>To be considered for prior authorization by physicians</w:t>
      </w:r>
    </w:p>
    <w:p w14:paraId="5A11351B" w14:textId="77777777" w:rsidR="00A54905" w:rsidRDefault="00A54905" w:rsidP="00BB40A2">
      <w:pPr>
        <w:spacing w:line="240" w:lineRule="auto"/>
        <w:rPr>
          <w:sz w:val="20"/>
          <w:szCs w:val="20"/>
        </w:rPr>
      </w:pPr>
    </w:p>
    <w:p w14:paraId="324B4869" w14:textId="59966DEA" w:rsidR="003275E1" w:rsidRDefault="0055545B" w:rsidP="00BB40A2">
      <w:pPr>
        <w:spacing w:line="240" w:lineRule="auto"/>
        <w:rPr>
          <w:sz w:val="20"/>
          <w:szCs w:val="20"/>
        </w:rPr>
      </w:pPr>
      <w:r>
        <w:rPr>
          <w:sz w:val="20"/>
          <w:szCs w:val="20"/>
        </w:rPr>
        <w:t xml:space="preserve">The following is a sample Letter of </w:t>
      </w:r>
      <w:r w:rsidR="004A514D">
        <w:rPr>
          <w:sz w:val="20"/>
          <w:szCs w:val="20"/>
        </w:rPr>
        <w:t>Appeal</w:t>
      </w:r>
      <w:r>
        <w:rPr>
          <w:sz w:val="20"/>
          <w:szCs w:val="20"/>
        </w:rPr>
        <w:t xml:space="preserve"> that can serve as a template and can be modified based on your medical judgment and discretion by incorporating details related to your patient’s medical history, diagnosis, and treatment plan. Use of this sample letter does not guarantee that insurance providers will provide reimbursement or coverage for EOHILI</w:t>
      </w:r>
      <w:r w:rsidR="00D34100">
        <w:rPr>
          <w:sz w:val="20"/>
          <w:szCs w:val="20"/>
        </w:rPr>
        <w:t>A</w:t>
      </w:r>
      <w:r w:rsidR="001A3662">
        <w:rPr>
          <w:sz w:val="20"/>
          <w:szCs w:val="20"/>
        </w:rPr>
        <w:t>. Please be advised that insurance providers may have specific forms o</w:t>
      </w:r>
      <w:r w:rsidR="00541F01">
        <w:rPr>
          <w:sz w:val="20"/>
          <w:szCs w:val="20"/>
        </w:rPr>
        <w:t>r</w:t>
      </w:r>
      <w:r w:rsidR="001A3662">
        <w:rPr>
          <w:sz w:val="20"/>
          <w:szCs w:val="20"/>
        </w:rPr>
        <w:t xml:space="preserve"> procedures for the authorization process. </w:t>
      </w:r>
    </w:p>
    <w:p w14:paraId="13DFF95C" w14:textId="77777777" w:rsidR="00BF0B2B" w:rsidRDefault="00BF0B2B" w:rsidP="00BB40A2">
      <w:pPr>
        <w:spacing w:line="240" w:lineRule="auto"/>
        <w:rPr>
          <w:sz w:val="20"/>
          <w:szCs w:val="20"/>
        </w:rPr>
      </w:pPr>
    </w:p>
    <w:p w14:paraId="59A94AC7" w14:textId="67A91B95" w:rsidR="00073285" w:rsidRPr="008E65C5" w:rsidRDefault="00DA657C" w:rsidP="00BB40A2">
      <w:pPr>
        <w:spacing w:line="240" w:lineRule="auto"/>
        <w:rPr>
          <w:b/>
          <w:bCs/>
          <w:color w:val="2F5496" w:themeColor="accent1" w:themeShade="BF"/>
          <w:sz w:val="20"/>
          <w:szCs w:val="20"/>
        </w:rPr>
      </w:pPr>
      <w:r w:rsidRPr="008E65C5">
        <w:rPr>
          <w:b/>
          <w:bCs/>
          <w:color w:val="2F5496" w:themeColor="accent1" w:themeShade="BF"/>
          <w:sz w:val="20"/>
          <w:szCs w:val="20"/>
        </w:rPr>
        <w:t>A g</w:t>
      </w:r>
      <w:r w:rsidR="00B77382" w:rsidRPr="008E65C5">
        <w:rPr>
          <w:b/>
          <w:bCs/>
          <w:color w:val="2F5496" w:themeColor="accent1" w:themeShade="BF"/>
          <w:sz w:val="20"/>
          <w:szCs w:val="20"/>
        </w:rPr>
        <w:t>uide</w:t>
      </w:r>
      <w:r w:rsidR="00073285" w:rsidRPr="008E65C5">
        <w:rPr>
          <w:b/>
          <w:bCs/>
          <w:color w:val="2F5496" w:themeColor="accent1" w:themeShade="BF"/>
          <w:sz w:val="20"/>
          <w:szCs w:val="20"/>
        </w:rPr>
        <w:t xml:space="preserve"> </w:t>
      </w:r>
      <w:r w:rsidR="00B77382" w:rsidRPr="008E65C5">
        <w:rPr>
          <w:b/>
          <w:bCs/>
          <w:color w:val="2F5496" w:themeColor="accent1" w:themeShade="BF"/>
          <w:sz w:val="20"/>
          <w:szCs w:val="20"/>
        </w:rPr>
        <w:t>to</w:t>
      </w:r>
      <w:r w:rsidR="00073285" w:rsidRPr="008E65C5">
        <w:rPr>
          <w:b/>
          <w:bCs/>
          <w:color w:val="2F5496" w:themeColor="accent1" w:themeShade="BF"/>
          <w:sz w:val="20"/>
          <w:szCs w:val="20"/>
        </w:rPr>
        <w:t xml:space="preserve"> completing </w:t>
      </w:r>
      <w:r w:rsidRPr="008E65C5">
        <w:rPr>
          <w:b/>
          <w:bCs/>
          <w:color w:val="2F5496" w:themeColor="accent1" w:themeShade="BF"/>
          <w:sz w:val="20"/>
          <w:szCs w:val="20"/>
        </w:rPr>
        <w:t>a</w:t>
      </w:r>
      <w:r w:rsidR="00803718" w:rsidRPr="008E65C5">
        <w:rPr>
          <w:b/>
          <w:bCs/>
          <w:color w:val="2F5496" w:themeColor="accent1" w:themeShade="BF"/>
          <w:sz w:val="20"/>
          <w:szCs w:val="20"/>
        </w:rPr>
        <w:t xml:space="preserve"> </w:t>
      </w:r>
      <w:r w:rsidR="007A1C5F" w:rsidRPr="008E65C5">
        <w:rPr>
          <w:b/>
          <w:bCs/>
          <w:color w:val="2F5496" w:themeColor="accent1" w:themeShade="BF"/>
          <w:sz w:val="20"/>
          <w:szCs w:val="20"/>
        </w:rPr>
        <w:t>L</w:t>
      </w:r>
      <w:r w:rsidR="00073285" w:rsidRPr="008E65C5">
        <w:rPr>
          <w:b/>
          <w:bCs/>
          <w:color w:val="2F5496" w:themeColor="accent1" w:themeShade="BF"/>
          <w:sz w:val="20"/>
          <w:szCs w:val="20"/>
        </w:rPr>
        <w:t xml:space="preserve">etter of </w:t>
      </w:r>
      <w:r w:rsidR="007A1C5F" w:rsidRPr="008E65C5">
        <w:rPr>
          <w:b/>
          <w:bCs/>
          <w:color w:val="2F5496" w:themeColor="accent1" w:themeShade="BF"/>
          <w:sz w:val="20"/>
          <w:szCs w:val="20"/>
        </w:rPr>
        <w:t>A</w:t>
      </w:r>
      <w:r w:rsidR="002F2E27" w:rsidRPr="008E65C5">
        <w:rPr>
          <w:b/>
          <w:bCs/>
          <w:color w:val="2F5496" w:themeColor="accent1" w:themeShade="BF"/>
          <w:sz w:val="20"/>
          <w:szCs w:val="20"/>
        </w:rPr>
        <w:t>ppeal</w:t>
      </w:r>
      <w:r w:rsidR="00073285" w:rsidRPr="008E65C5">
        <w:rPr>
          <w:b/>
          <w:bCs/>
          <w:color w:val="2F5496" w:themeColor="accent1" w:themeShade="BF"/>
          <w:sz w:val="20"/>
          <w:szCs w:val="20"/>
        </w:rPr>
        <w:t>:</w:t>
      </w:r>
    </w:p>
    <w:p w14:paraId="3404A53B" w14:textId="6F6E55BA" w:rsidR="003527C2" w:rsidRDefault="00632D58" w:rsidP="00BB40A2">
      <w:pPr>
        <w:pStyle w:val="ListParagraph"/>
        <w:numPr>
          <w:ilvl w:val="0"/>
          <w:numId w:val="3"/>
        </w:numPr>
        <w:spacing w:line="240" w:lineRule="auto"/>
        <w:rPr>
          <w:sz w:val="20"/>
          <w:szCs w:val="20"/>
        </w:rPr>
      </w:pPr>
      <w:r w:rsidRPr="003527C2">
        <w:rPr>
          <w:sz w:val="20"/>
          <w:szCs w:val="20"/>
        </w:rPr>
        <w:t xml:space="preserve">Download the </w:t>
      </w:r>
      <w:r w:rsidR="00D20372">
        <w:rPr>
          <w:sz w:val="20"/>
          <w:szCs w:val="20"/>
        </w:rPr>
        <w:t>W</w:t>
      </w:r>
      <w:r w:rsidRPr="003527C2">
        <w:rPr>
          <w:sz w:val="20"/>
          <w:szCs w:val="20"/>
        </w:rPr>
        <w:t>ord doc template</w:t>
      </w:r>
      <w:r w:rsidR="003275E1" w:rsidRPr="003527C2">
        <w:rPr>
          <w:sz w:val="20"/>
          <w:szCs w:val="20"/>
        </w:rPr>
        <w:t>.</w:t>
      </w:r>
    </w:p>
    <w:p w14:paraId="5FFD9DD4" w14:textId="520966FF" w:rsidR="003527C2" w:rsidRDefault="00615E12" w:rsidP="00BB40A2">
      <w:pPr>
        <w:pStyle w:val="ListParagraph"/>
        <w:numPr>
          <w:ilvl w:val="0"/>
          <w:numId w:val="3"/>
        </w:numPr>
        <w:spacing w:line="240" w:lineRule="auto"/>
        <w:rPr>
          <w:sz w:val="20"/>
          <w:szCs w:val="20"/>
        </w:rPr>
      </w:pPr>
      <w:r>
        <w:rPr>
          <w:sz w:val="20"/>
          <w:szCs w:val="20"/>
        </w:rPr>
        <w:t xml:space="preserve">Understand the denial and </w:t>
      </w:r>
      <w:r w:rsidR="009053D2">
        <w:rPr>
          <w:sz w:val="20"/>
          <w:szCs w:val="20"/>
        </w:rPr>
        <w:t xml:space="preserve">review the insurance provider’s guidelines </w:t>
      </w:r>
      <w:r w:rsidR="000B20BF">
        <w:rPr>
          <w:sz w:val="20"/>
          <w:szCs w:val="20"/>
        </w:rPr>
        <w:t>about the appeal process</w:t>
      </w:r>
      <w:r w:rsidR="00096A93" w:rsidRPr="003527C2">
        <w:rPr>
          <w:sz w:val="20"/>
          <w:szCs w:val="20"/>
        </w:rPr>
        <w:t>.</w:t>
      </w:r>
    </w:p>
    <w:p w14:paraId="6E2A5423" w14:textId="0C5D9F50" w:rsidR="003527C2" w:rsidRDefault="00632D58" w:rsidP="003527C2">
      <w:pPr>
        <w:pStyle w:val="ListParagraph"/>
        <w:numPr>
          <w:ilvl w:val="0"/>
          <w:numId w:val="3"/>
        </w:numPr>
        <w:spacing w:line="240" w:lineRule="auto"/>
        <w:rPr>
          <w:sz w:val="20"/>
          <w:szCs w:val="20"/>
        </w:rPr>
      </w:pPr>
      <w:r w:rsidRPr="003527C2">
        <w:rPr>
          <w:sz w:val="20"/>
          <w:szCs w:val="20"/>
        </w:rPr>
        <w:t xml:space="preserve">Please </w:t>
      </w:r>
      <w:r w:rsidR="00697448">
        <w:rPr>
          <w:sz w:val="20"/>
          <w:szCs w:val="20"/>
        </w:rPr>
        <w:t>modify</w:t>
      </w:r>
      <w:r w:rsidRPr="003527C2">
        <w:rPr>
          <w:sz w:val="20"/>
          <w:szCs w:val="20"/>
        </w:rPr>
        <w:t xml:space="preserve"> the </w:t>
      </w:r>
      <w:r w:rsidR="005A47EA">
        <w:rPr>
          <w:sz w:val="20"/>
          <w:szCs w:val="20"/>
        </w:rPr>
        <w:t>L</w:t>
      </w:r>
      <w:r w:rsidRPr="003527C2">
        <w:rPr>
          <w:sz w:val="20"/>
          <w:szCs w:val="20"/>
        </w:rPr>
        <w:t xml:space="preserve">etter of </w:t>
      </w:r>
      <w:r w:rsidR="005A47EA">
        <w:rPr>
          <w:sz w:val="20"/>
          <w:szCs w:val="20"/>
        </w:rPr>
        <w:t>A</w:t>
      </w:r>
      <w:r w:rsidR="00DC19B7">
        <w:rPr>
          <w:sz w:val="20"/>
          <w:szCs w:val="20"/>
        </w:rPr>
        <w:t>ppeal</w:t>
      </w:r>
      <w:r w:rsidRPr="003527C2">
        <w:rPr>
          <w:sz w:val="20"/>
          <w:szCs w:val="20"/>
        </w:rPr>
        <w:t xml:space="preserve"> based on the medical appropriateness</w:t>
      </w:r>
      <w:r w:rsidR="00D026A9" w:rsidRPr="003527C2">
        <w:rPr>
          <w:sz w:val="20"/>
          <w:szCs w:val="20"/>
        </w:rPr>
        <w:t xml:space="preserve"> for your patient</w:t>
      </w:r>
      <w:r w:rsidRPr="003527C2">
        <w:rPr>
          <w:sz w:val="20"/>
          <w:szCs w:val="20"/>
        </w:rPr>
        <w:t xml:space="preserve">. </w:t>
      </w:r>
      <w:r w:rsidR="00B34F94" w:rsidRPr="003527C2">
        <w:rPr>
          <w:sz w:val="20"/>
          <w:szCs w:val="20"/>
        </w:rPr>
        <w:t xml:space="preserve">Fields for </w:t>
      </w:r>
      <w:r w:rsidR="00697448">
        <w:rPr>
          <w:sz w:val="20"/>
          <w:szCs w:val="20"/>
        </w:rPr>
        <w:t>modification</w:t>
      </w:r>
      <w:r w:rsidR="00B34F94" w:rsidRPr="003527C2">
        <w:rPr>
          <w:sz w:val="20"/>
          <w:szCs w:val="20"/>
        </w:rPr>
        <w:t xml:space="preserve"> are in </w:t>
      </w:r>
      <w:r w:rsidR="00B34F94" w:rsidRPr="00784E20">
        <w:rPr>
          <w:color w:val="CC00FF"/>
          <w:sz w:val="20"/>
          <w:szCs w:val="20"/>
        </w:rPr>
        <w:t>MAGENTA</w:t>
      </w:r>
      <w:r w:rsidR="00142B46" w:rsidRPr="003527C2">
        <w:rPr>
          <w:sz w:val="20"/>
          <w:szCs w:val="20"/>
        </w:rPr>
        <w:t>.</w:t>
      </w:r>
    </w:p>
    <w:p w14:paraId="4DE187F6" w14:textId="5E0C3209" w:rsidR="009F66E9" w:rsidRPr="006075B8" w:rsidRDefault="000B20BF" w:rsidP="006075B8">
      <w:pPr>
        <w:pStyle w:val="ListParagraph"/>
        <w:numPr>
          <w:ilvl w:val="0"/>
          <w:numId w:val="3"/>
        </w:numPr>
        <w:spacing w:line="240" w:lineRule="auto"/>
        <w:rPr>
          <w:sz w:val="20"/>
          <w:szCs w:val="20"/>
        </w:rPr>
      </w:pPr>
      <w:r>
        <w:rPr>
          <w:sz w:val="20"/>
          <w:szCs w:val="20"/>
        </w:rPr>
        <w:t>S</w:t>
      </w:r>
      <w:r w:rsidR="009F66E9" w:rsidRPr="006075B8">
        <w:rPr>
          <w:sz w:val="20"/>
          <w:szCs w:val="20"/>
        </w:rPr>
        <w:t>ubmit</w:t>
      </w:r>
      <w:r>
        <w:rPr>
          <w:sz w:val="20"/>
          <w:szCs w:val="20"/>
        </w:rPr>
        <w:t>ting this Letter of Appeal, with</w:t>
      </w:r>
      <w:r w:rsidR="00485E15">
        <w:rPr>
          <w:sz w:val="20"/>
          <w:szCs w:val="20"/>
        </w:rPr>
        <w:t xml:space="preserve"> any required appeal forms</w:t>
      </w:r>
      <w:r w:rsidR="00910D39">
        <w:rPr>
          <w:sz w:val="20"/>
          <w:szCs w:val="20"/>
        </w:rPr>
        <w:t xml:space="preserve"> or additional documentation</w:t>
      </w:r>
      <w:r w:rsidR="00485E15">
        <w:rPr>
          <w:sz w:val="20"/>
          <w:szCs w:val="20"/>
        </w:rPr>
        <w:t>, can further explain the patient’s medical need</w:t>
      </w:r>
      <w:r w:rsidR="00D7696B">
        <w:rPr>
          <w:sz w:val="20"/>
          <w:szCs w:val="20"/>
        </w:rPr>
        <w:t xml:space="preserve"> </w:t>
      </w:r>
      <w:r w:rsidR="00D20372">
        <w:rPr>
          <w:sz w:val="20"/>
          <w:szCs w:val="20"/>
        </w:rPr>
        <w:t xml:space="preserve">to </w:t>
      </w:r>
      <w:r w:rsidR="00485E15">
        <w:rPr>
          <w:sz w:val="20"/>
          <w:szCs w:val="20"/>
        </w:rPr>
        <w:t xml:space="preserve">the </w:t>
      </w:r>
      <w:r w:rsidR="00D20372">
        <w:rPr>
          <w:sz w:val="20"/>
          <w:szCs w:val="20"/>
        </w:rPr>
        <w:t xml:space="preserve">insurance </w:t>
      </w:r>
      <w:r w:rsidR="00AD1638">
        <w:rPr>
          <w:sz w:val="20"/>
          <w:szCs w:val="20"/>
        </w:rPr>
        <w:t>provider.</w:t>
      </w:r>
    </w:p>
    <w:p w14:paraId="42B59366" w14:textId="77777777" w:rsidR="00A8571E" w:rsidRDefault="00A8571E" w:rsidP="00A8571E">
      <w:pPr>
        <w:spacing w:line="240" w:lineRule="auto"/>
        <w:rPr>
          <w:sz w:val="20"/>
          <w:szCs w:val="20"/>
        </w:rPr>
      </w:pPr>
    </w:p>
    <w:p w14:paraId="6EAFFE18" w14:textId="6E552658" w:rsidR="00A8571E" w:rsidRPr="008E65C5" w:rsidRDefault="00A8571E" w:rsidP="00A8571E">
      <w:pPr>
        <w:spacing w:line="240" w:lineRule="auto"/>
        <w:rPr>
          <w:b/>
          <w:bCs/>
          <w:i/>
          <w:iCs/>
          <w:color w:val="2F5496" w:themeColor="accent1" w:themeShade="BF"/>
          <w:sz w:val="20"/>
          <w:szCs w:val="20"/>
        </w:rPr>
      </w:pPr>
      <w:r w:rsidRPr="008E65C5">
        <w:rPr>
          <w:b/>
          <w:bCs/>
          <w:i/>
          <w:iCs/>
          <w:color w:val="2F5496" w:themeColor="accent1" w:themeShade="BF"/>
          <w:sz w:val="20"/>
          <w:szCs w:val="20"/>
        </w:rPr>
        <w:t>S</w:t>
      </w:r>
      <w:r w:rsidR="008C1C5D" w:rsidRPr="008E65C5">
        <w:rPr>
          <w:b/>
          <w:bCs/>
          <w:i/>
          <w:iCs/>
          <w:color w:val="2F5496" w:themeColor="accent1" w:themeShade="BF"/>
          <w:sz w:val="20"/>
          <w:szCs w:val="20"/>
        </w:rPr>
        <w:t>croll down to</w:t>
      </w:r>
      <w:r w:rsidRPr="008E65C5">
        <w:rPr>
          <w:b/>
          <w:bCs/>
          <w:i/>
          <w:iCs/>
          <w:color w:val="2F5496" w:themeColor="accent1" w:themeShade="BF"/>
          <w:sz w:val="20"/>
          <w:szCs w:val="20"/>
        </w:rPr>
        <w:t xml:space="preserve"> page 2 for sample Letter of </w:t>
      </w:r>
      <w:r w:rsidR="00B15898" w:rsidRPr="008E65C5">
        <w:rPr>
          <w:b/>
          <w:bCs/>
          <w:i/>
          <w:iCs/>
          <w:color w:val="2F5496" w:themeColor="accent1" w:themeShade="BF"/>
          <w:sz w:val="20"/>
          <w:szCs w:val="20"/>
        </w:rPr>
        <w:t>Appeal</w:t>
      </w:r>
      <w:r w:rsidRPr="008E65C5">
        <w:rPr>
          <w:b/>
          <w:bCs/>
          <w:i/>
          <w:iCs/>
          <w:color w:val="2F5496" w:themeColor="accent1" w:themeShade="BF"/>
          <w:sz w:val="20"/>
          <w:szCs w:val="20"/>
        </w:rPr>
        <w:t>.</w:t>
      </w:r>
    </w:p>
    <w:p w14:paraId="31443AF9" w14:textId="77777777" w:rsidR="00203DE2" w:rsidRDefault="00203DE2" w:rsidP="00B76728">
      <w:pPr>
        <w:spacing w:line="240" w:lineRule="auto"/>
        <w:rPr>
          <w:rFonts w:ascii="Calibri" w:hAnsi="Calibri" w:cs="Calibri"/>
          <w:b/>
          <w:color w:val="2F5496" w:themeColor="accent1" w:themeShade="BF"/>
          <w:u w:val="single"/>
        </w:rPr>
      </w:pPr>
    </w:p>
    <w:p w14:paraId="78104F63" w14:textId="77777777" w:rsidR="005302F2" w:rsidRDefault="005302F2" w:rsidP="00B76728">
      <w:pPr>
        <w:spacing w:line="240" w:lineRule="auto"/>
        <w:rPr>
          <w:rFonts w:ascii="Calibri" w:hAnsi="Calibri" w:cs="Calibri"/>
          <w:b/>
          <w:color w:val="2F5496" w:themeColor="accent1" w:themeShade="BF"/>
          <w:u w:val="single"/>
        </w:rPr>
      </w:pPr>
    </w:p>
    <w:p w14:paraId="533AE937" w14:textId="77777777" w:rsidR="005302F2" w:rsidRDefault="005302F2" w:rsidP="00B76728">
      <w:pPr>
        <w:spacing w:line="240" w:lineRule="auto"/>
        <w:rPr>
          <w:rFonts w:ascii="Calibri" w:hAnsi="Calibri" w:cs="Calibri"/>
          <w:b/>
          <w:color w:val="2F5496" w:themeColor="accent1" w:themeShade="BF"/>
          <w:u w:val="single"/>
        </w:rPr>
      </w:pPr>
    </w:p>
    <w:p w14:paraId="1994FAF3" w14:textId="77777777" w:rsidR="005302F2" w:rsidRDefault="005302F2" w:rsidP="00B76728">
      <w:pPr>
        <w:spacing w:line="240" w:lineRule="auto"/>
        <w:rPr>
          <w:rFonts w:ascii="Calibri" w:hAnsi="Calibri" w:cs="Calibri"/>
          <w:b/>
          <w:color w:val="2F5496" w:themeColor="accent1" w:themeShade="BF"/>
          <w:u w:val="single"/>
        </w:rPr>
      </w:pPr>
    </w:p>
    <w:p w14:paraId="6040E09E" w14:textId="77777777" w:rsidR="005302F2" w:rsidRPr="007F1198" w:rsidRDefault="005302F2" w:rsidP="00B76728">
      <w:pPr>
        <w:spacing w:line="240" w:lineRule="auto"/>
        <w:rPr>
          <w:rFonts w:ascii="Calibri" w:hAnsi="Calibri" w:cs="Calibri"/>
          <w:b/>
          <w:color w:val="2F5496" w:themeColor="accent1" w:themeShade="BF"/>
          <w:u w:val="single"/>
        </w:rPr>
      </w:pPr>
    </w:p>
    <w:p w14:paraId="21972DE9" w14:textId="77777777" w:rsidR="00203DE2" w:rsidRPr="007F1198" w:rsidRDefault="00203DE2" w:rsidP="00B76728">
      <w:pPr>
        <w:spacing w:line="240" w:lineRule="auto"/>
        <w:rPr>
          <w:rFonts w:cstheme="minorHAnsi"/>
          <w:b/>
          <w:color w:val="2F5496" w:themeColor="accent1" w:themeShade="BF"/>
          <w:sz w:val="20"/>
          <w:szCs w:val="20"/>
          <w:u w:val="single"/>
        </w:rPr>
      </w:pPr>
      <w:r w:rsidRPr="007F1198">
        <w:rPr>
          <w:rFonts w:cstheme="minorHAnsi"/>
          <w:b/>
          <w:color w:val="2F5496" w:themeColor="accent1" w:themeShade="BF"/>
          <w:sz w:val="20"/>
          <w:szCs w:val="20"/>
          <w:u w:val="single"/>
        </w:rPr>
        <w:t>I</w:t>
      </w:r>
      <w:r>
        <w:rPr>
          <w:rFonts w:cstheme="minorHAnsi"/>
          <w:b/>
          <w:color w:val="2F5496" w:themeColor="accent1" w:themeShade="BF"/>
          <w:sz w:val="20"/>
          <w:szCs w:val="20"/>
          <w:u w:val="single"/>
        </w:rPr>
        <w:t>ndication and Limitations of Use</w:t>
      </w:r>
    </w:p>
    <w:p w14:paraId="3FC91A1D" w14:textId="1BD2DCF6" w:rsidR="00203DE2" w:rsidRPr="00956B24" w:rsidRDefault="00203DE2" w:rsidP="00B76728">
      <w:pPr>
        <w:spacing w:line="240" w:lineRule="auto"/>
        <w:rPr>
          <w:rFonts w:cstheme="minorHAnsi"/>
          <w:bCs/>
          <w:sz w:val="20"/>
          <w:szCs w:val="20"/>
        </w:rPr>
      </w:pPr>
      <w:r w:rsidRPr="007D5E2F">
        <w:rPr>
          <w:rFonts w:cstheme="minorHAnsi"/>
          <w:bCs/>
          <w:sz w:val="20"/>
          <w:szCs w:val="20"/>
        </w:rPr>
        <w:t xml:space="preserve">EOHILIA </w:t>
      </w:r>
      <w:r w:rsidRPr="00956B24">
        <w:rPr>
          <w:rFonts w:cstheme="minorHAnsi"/>
          <w:bCs/>
          <w:sz w:val="20"/>
          <w:szCs w:val="20"/>
        </w:rPr>
        <w:t xml:space="preserve">is indicated for 12 weeks of treatment in adult and pediatric patients 11 years of age and older with </w:t>
      </w:r>
      <w:bookmarkStart w:id="0" w:name="_Hlk46737484"/>
      <w:r w:rsidRPr="00956B24">
        <w:rPr>
          <w:rFonts w:cstheme="minorHAnsi"/>
          <w:bCs/>
          <w:sz w:val="20"/>
          <w:szCs w:val="20"/>
        </w:rPr>
        <w:t>eosinophilic esophagitis (</w:t>
      </w:r>
      <w:proofErr w:type="spellStart"/>
      <w:r w:rsidRPr="00956B24">
        <w:rPr>
          <w:rFonts w:cstheme="minorHAnsi"/>
          <w:bCs/>
          <w:sz w:val="20"/>
          <w:szCs w:val="20"/>
        </w:rPr>
        <w:t>EoE</w:t>
      </w:r>
      <w:proofErr w:type="spellEnd"/>
      <w:r w:rsidRPr="00956B24">
        <w:rPr>
          <w:rFonts w:cstheme="minorHAnsi"/>
          <w:bCs/>
          <w:sz w:val="20"/>
          <w:szCs w:val="20"/>
        </w:rPr>
        <w:t>)</w:t>
      </w:r>
      <w:bookmarkEnd w:id="0"/>
      <w:r w:rsidRPr="00956B24">
        <w:rPr>
          <w:rFonts w:cstheme="minorHAnsi"/>
          <w:bCs/>
          <w:sz w:val="20"/>
          <w:szCs w:val="20"/>
        </w:rPr>
        <w:t>.</w:t>
      </w:r>
    </w:p>
    <w:p w14:paraId="20FB958A" w14:textId="77777777" w:rsidR="00203DE2" w:rsidRPr="007D5E2F" w:rsidRDefault="00203DE2" w:rsidP="00B76728">
      <w:pPr>
        <w:spacing w:line="240" w:lineRule="auto"/>
        <w:rPr>
          <w:rFonts w:cstheme="minorHAnsi"/>
          <w:b/>
          <w:sz w:val="20"/>
          <w:szCs w:val="20"/>
          <w:u w:val="single"/>
        </w:rPr>
      </w:pPr>
      <w:r w:rsidRPr="00956B24">
        <w:rPr>
          <w:rFonts w:cstheme="minorHAnsi"/>
          <w:bCs/>
          <w:sz w:val="20"/>
          <w:szCs w:val="20"/>
        </w:rPr>
        <w:t xml:space="preserve">EOHILIA has not been shown to be safe and effective for the treatment of </w:t>
      </w:r>
      <w:proofErr w:type="spellStart"/>
      <w:r w:rsidRPr="00956B24">
        <w:rPr>
          <w:rFonts w:cstheme="minorHAnsi"/>
          <w:bCs/>
          <w:sz w:val="20"/>
          <w:szCs w:val="20"/>
        </w:rPr>
        <w:t>EoE</w:t>
      </w:r>
      <w:proofErr w:type="spellEnd"/>
      <w:r w:rsidRPr="00956B24">
        <w:rPr>
          <w:rFonts w:cstheme="minorHAnsi"/>
          <w:bCs/>
          <w:sz w:val="20"/>
          <w:szCs w:val="20"/>
        </w:rPr>
        <w:t xml:space="preserve"> for longer than 12 weeks</w:t>
      </w:r>
      <w:r>
        <w:rPr>
          <w:rFonts w:cstheme="minorHAnsi"/>
          <w:bCs/>
          <w:sz w:val="20"/>
          <w:szCs w:val="20"/>
        </w:rPr>
        <w:t>.</w:t>
      </w:r>
    </w:p>
    <w:p w14:paraId="6EA4A227" w14:textId="77777777" w:rsidR="00203DE2" w:rsidRPr="007F1198" w:rsidRDefault="00203DE2" w:rsidP="00B76728">
      <w:pPr>
        <w:spacing w:line="240" w:lineRule="auto"/>
        <w:rPr>
          <w:rFonts w:cstheme="minorHAnsi"/>
          <w:b/>
          <w:color w:val="2F5496" w:themeColor="accent1" w:themeShade="BF"/>
          <w:sz w:val="20"/>
          <w:szCs w:val="20"/>
          <w:u w:val="single"/>
        </w:rPr>
      </w:pPr>
      <w:r w:rsidRPr="007F1198">
        <w:rPr>
          <w:rFonts w:cstheme="minorHAnsi"/>
          <w:b/>
          <w:color w:val="2F5496" w:themeColor="accent1" w:themeShade="BF"/>
          <w:sz w:val="20"/>
          <w:szCs w:val="20"/>
          <w:u w:val="single"/>
        </w:rPr>
        <w:t>IMPORTANT SAFETY INFORMATION</w:t>
      </w:r>
    </w:p>
    <w:p w14:paraId="3CED95E6" w14:textId="77777777" w:rsidR="00203DE2" w:rsidRPr="007F1198" w:rsidRDefault="00203DE2" w:rsidP="00B76728">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CONTRAINDICATIONS</w:t>
      </w:r>
    </w:p>
    <w:p w14:paraId="26029F3E" w14:textId="4641D512" w:rsidR="003C3B0A" w:rsidRPr="003C3B0A" w:rsidRDefault="00203DE2" w:rsidP="003C3B0A">
      <w:pPr>
        <w:pStyle w:val="ListParagraph"/>
        <w:shd w:val="clear" w:color="auto" w:fill="FFFFFF"/>
        <w:spacing w:line="240" w:lineRule="auto"/>
        <w:ind w:left="0"/>
        <w:rPr>
          <w:rFonts w:eastAsia="Times New Roman" w:cstheme="minorHAnsi"/>
          <w:sz w:val="20"/>
          <w:szCs w:val="20"/>
        </w:rPr>
      </w:pPr>
      <w:r w:rsidRPr="007D5E2F">
        <w:rPr>
          <w:rFonts w:eastAsia="Times New Roman" w:cstheme="minorHAnsi"/>
          <w:sz w:val="20"/>
          <w:szCs w:val="20"/>
        </w:rPr>
        <w:t>EOHILIA is contraindicated in patients with hypersensitivity to budesonide. Serious hypersensitivity reactions, including anaphylaxis, have occurred with oral budesonide products.</w:t>
      </w:r>
    </w:p>
    <w:p w14:paraId="1D0D726D" w14:textId="6E3B52B5" w:rsidR="00F06033" w:rsidRPr="003978BF" w:rsidRDefault="00F06033" w:rsidP="00B76728">
      <w:pPr>
        <w:spacing w:line="240" w:lineRule="auto"/>
        <w:rPr>
          <w:rFonts w:cstheme="minorHAnsi"/>
          <w:b/>
          <w:bCs/>
          <w:iCs/>
          <w:sz w:val="20"/>
          <w:szCs w:val="20"/>
        </w:rPr>
      </w:pPr>
      <w:r w:rsidRPr="003978BF">
        <w:rPr>
          <w:rFonts w:cstheme="minorHAnsi"/>
          <w:b/>
          <w:bCs/>
          <w:iCs/>
          <w:sz w:val="20"/>
          <w:szCs w:val="20"/>
        </w:rPr>
        <w:t xml:space="preserve">Please see additional Important Safety Information on pages 3 and 4, and click here for full </w:t>
      </w:r>
      <w:hyperlink r:id="rId7" w:history="1">
        <w:r w:rsidRPr="00FA5694">
          <w:rPr>
            <w:rStyle w:val="Hyperlink"/>
            <w:rFonts w:cstheme="minorHAnsi"/>
            <w:b/>
            <w:bCs/>
            <w:iCs/>
            <w:sz w:val="20"/>
            <w:szCs w:val="20"/>
          </w:rPr>
          <w:t>Prescribing Information</w:t>
        </w:r>
      </w:hyperlink>
      <w:r w:rsidR="003978BF" w:rsidRPr="003978BF">
        <w:rPr>
          <w:rFonts w:cstheme="minorHAnsi"/>
          <w:b/>
          <w:bCs/>
          <w:iCs/>
          <w:sz w:val="20"/>
          <w:szCs w:val="20"/>
        </w:rPr>
        <w:t>.</w:t>
      </w:r>
    </w:p>
    <w:p w14:paraId="3CFB02D2" w14:textId="2EEEE43F" w:rsidR="00A8571E" w:rsidRPr="008E65C5" w:rsidRDefault="003978BF" w:rsidP="00BB40A2">
      <w:pPr>
        <w:spacing w:line="240" w:lineRule="auto"/>
        <w:rPr>
          <w:color w:val="2F5496" w:themeColor="accent1" w:themeShade="BF"/>
          <w:sz w:val="20"/>
          <w:szCs w:val="20"/>
        </w:rPr>
      </w:pPr>
      <w:r w:rsidRPr="008E65C5">
        <w:rPr>
          <w:color w:val="2F5496" w:themeColor="accent1" w:themeShade="BF"/>
          <w:sz w:val="20"/>
          <w:szCs w:val="20"/>
        </w:rPr>
        <w:t>_____________________________________________________________________________________________</w:t>
      </w:r>
    </w:p>
    <w:p w14:paraId="4F4FC883" w14:textId="2A3BD917" w:rsidR="00F06033" w:rsidRPr="003978BF" w:rsidRDefault="00F06033" w:rsidP="00F06033">
      <w:pPr>
        <w:spacing w:line="240" w:lineRule="auto"/>
        <w:rPr>
          <w:sz w:val="18"/>
          <w:szCs w:val="18"/>
        </w:rPr>
      </w:pPr>
      <w:r w:rsidRPr="003978BF">
        <w:rPr>
          <w:sz w:val="18"/>
          <w:szCs w:val="18"/>
        </w:rPr>
        <w:t xml:space="preserve">This resource is provided for informational purposes only and </w:t>
      </w:r>
      <w:r w:rsidR="003473D7">
        <w:rPr>
          <w:sz w:val="18"/>
          <w:szCs w:val="18"/>
        </w:rPr>
        <w:t>is</w:t>
      </w:r>
      <w:r w:rsidRPr="003978BF">
        <w:rPr>
          <w:sz w:val="18"/>
          <w:szCs w:val="18"/>
        </w:rPr>
        <w:t xml:space="preserve"> not intended to provide reimbursement or legal advice. Contact third-party payers for specific information on their current coverage, reimbursement, and coding policies.</w:t>
      </w:r>
    </w:p>
    <w:p w14:paraId="3CBE0CFB" w14:textId="77777777" w:rsidR="00A8571E" w:rsidRDefault="00A8571E" w:rsidP="00BB40A2">
      <w:pPr>
        <w:spacing w:line="240" w:lineRule="auto"/>
        <w:rPr>
          <w:sz w:val="20"/>
          <w:szCs w:val="20"/>
        </w:rPr>
      </w:pPr>
    </w:p>
    <w:p w14:paraId="1F1F4362" w14:textId="0E91580C" w:rsidR="001A3662" w:rsidRPr="00784E20" w:rsidRDefault="00E515B5" w:rsidP="00BB40A2">
      <w:pPr>
        <w:spacing w:after="60" w:line="240" w:lineRule="auto"/>
        <w:rPr>
          <w:color w:val="CC00FF"/>
          <w:sz w:val="20"/>
          <w:szCs w:val="20"/>
        </w:rPr>
      </w:pPr>
      <w:r w:rsidRPr="00784E20">
        <w:rPr>
          <w:color w:val="CC00FF"/>
          <w:sz w:val="20"/>
          <w:szCs w:val="20"/>
        </w:rPr>
        <w:lastRenderedPageBreak/>
        <w:t>[Physician’s letterhead]</w:t>
      </w:r>
    </w:p>
    <w:p w14:paraId="2414D555" w14:textId="595FC819" w:rsidR="00166157" w:rsidRDefault="00166157" w:rsidP="00BB40A2">
      <w:pPr>
        <w:spacing w:after="60" w:line="240" w:lineRule="auto"/>
        <w:rPr>
          <w:sz w:val="20"/>
          <w:szCs w:val="20"/>
        </w:rPr>
      </w:pPr>
      <w:r w:rsidRPr="008E65C5">
        <w:rPr>
          <w:color w:val="2F5496" w:themeColor="accent1" w:themeShade="BF"/>
          <w:sz w:val="20"/>
          <w:szCs w:val="20"/>
        </w:rPr>
        <w:t>____________________________________________________________________________________________</w:t>
      </w:r>
      <w:r>
        <w:rPr>
          <w:sz w:val="20"/>
          <w:szCs w:val="20"/>
        </w:rPr>
        <w:t>_</w:t>
      </w:r>
    </w:p>
    <w:p w14:paraId="2D348C3C" w14:textId="77777777" w:rsidR="008B5603" w:rsidRDefault="008B5603" w:rsidP="00BB40A2">
      <w:pPr>
        <w:spacing w:after="60" w:line="240" w:lineRule="auto"/>
        <w:rPr>
          <w:sz w:val="20"/>
          <w:szCs w:val="20"/>
        </w:rPr>
      </w:pPr>
    </w:p>
    <w:p w14:paraId="69C2523E" w14:textId="1AF18628" w:rsidR="008B5603" w:rsidRPr="00784E20" w:rsidRDefault="008B5603" w:rsidP="00BB40A2">
      <w:pPr>
        <w:spacing w:after="60" w:line="240" w:lineRule="auto"/>
        <w:rPr>
          <w:color w:val="CC00FF"/>
          <w:sz w:val="20"/>
          <w:szCs w:val="20"/>
        </w:rPr>
      </w:pPr>
      <w:r w:rsidRPr="00784E20">
        <w:rPr>
          <w:color w:val="CC00FF"/>
          <w:sz w:val="20"/>
          <w:szCs w:val="20"/>
        </w:rPr>
        <w:t>[Date]</w:t>
      </w:r>
    </w:p>
    <w:p w14:paraId="2907BC12" w14:textId="77777777" w:rsidR="008B5603" w:rsidRPr="00784E20" w:rsidRDefault="008B5603" w:rsidP="00BB40A2">
      <w:pPr>
        <w:spacing w:after="60" w:line="240" w:lineRule="auto"/>
        <w:rPr>
          <w:color w:val="CC00FF"/>
          <w:sz w:val="20"/>
          <w:szCs w:val="20"/>
        </w:rPr>
      </w:pPr>
    </w:p>
    <w:p w14:paraId="6FB84F49" w14:textId="2DE60B2C" w:rsidR="008B5603" w:rsidRPr="00784E20" w:rsidRDefault="008B5603" w:rsidP="00BB40A2">
      <w:pPr>
        <w:spacing w:after="60" w:line="240" w:lineRule="auto"/>
        <w:rPr>
          <w:color w:val="CC00FF"/>
          <w:sz w:val="20"/>
          <w:szCs w:val="20"/>
        </w:rPr>
      </w:pPr>
      <w:r w:rsidRPr="00784E20">
        <w:rPr>
          <w:color w:val="CC00FF"/>
          <w:sz w:val="20"/>
          <w:szCs w:val="20"/>
        </w:rPr>
        <w:t>[Health plan’s name]</w:t>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BC2AE9" w:rsidRPr="00784E20">
        <w:rPr>
          <w:color w:val="CC00FF"/>
          <w:sz w:val="20"/>
          <w:szCs w:val="20"/>
        </w:rPr>
        <w:tab/>
      </w:r>
      <w:r w:rsidR="008D5750" w:rsidRPr="00784E20">
        <w:rPr>
          <w:color w:val="CC00FF"/>
          <w:sz w:val="20"/>
          <w:szCs w:val="20"/>
        </w:rPr>
        <w:t>[Patient’s name]</w:t>
      </w:r>
    </w:p>
    <w:p w14:paraId="28506CBF" w14:textId="6D4756F8" w:rsidR="008B5603" w:rsidRPr="00784E20" w:rsidRDefault="008B5603" w:rsidP="00BB40A2">
      <w:pPr>
        <w:spacing w:after="60" w:line="240" w:lineRule="auto"/>
        <w:rPr>
          <w:color w:val="CC00FF"/>
          <w:sz w:val="20"/>
          <w:szCs w:val="20"/>
        </w:rPr>
      </w:pPr>
      <w:r w:rsidRPr="00057B8A">
        <w:rPr>
          <w:sz w:val="20"/>
          <w:szCs w:val="20"/>
        </w:rPr>
        <w:t>ATTN:</w:t>
      </w:r>
      <w:r w:rsidRPr="00784E20">
        <w:rPr>
          <w:color w:val="CC00FF"/>
          <w:sz w:val="20"/>
          <w:szCs w:val="20"/>
        </w:rPr>
        <w:t xml:space="preserve"> [Department]</w:t>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t>[Date of birth]</w:t>
      </w:r>
    </w:p>
    <w:p w14:paraId="09FAA654" w14:textId="64E06CF1" w:rsidR="008B5603" w:rsidRPr="00784E20" w:rsidRDefault="008B5603" w:rsidP="00BB40A2">
      <w:pPr>
        <w:spacing w:after="60" w:line="240" w:lineRule="auto"/>
        <w:rPr>
          <w:color w:val="CC00FF"/>
          <w:sz w:val="20"/>
          <w:szCs w:val="20"/>
        </w:rPr>
      </w:pPr>
      <w:r w:rsidRPr="00784E20">
        <w:rPr>
          <w:color w:val="CC00FF"/>
          <w:sz w:val="20"/>
          <w:szCs w:val="20"/>
        </w:rPr>
        <w:t>[Medical director’s name</w:t>
      </w:r>
      <w:r w:rsidR="005E1996" w:rsidRPr="00784E20">
        <w:rPr>
          <w:color w:val="CC00FF"/>
          <w:sz w:val="20"/>
          <w:szCs w:val="20"/>
        </w:rPr>
        <w:t>]</w:t>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t>[Case ID number]</w:t>
      </w:r>
    </w:p>
    <w:p w14:paraId="0C784D66" w14:textId="10C03557" w:rsidR="005E1996" w:rsidRPr="00784E20" w:rsidRDefault="005E1996" w:rsidP="00BB40A2">
      <w:pPr>
        <w:spacing w:after="60" w:line="240" w:lineRule="auto"/>
        <w:rPr>
          <w:color w:val="CC00FF"/>
          <w:sz w:val="20"/>
          <w:szCs w:val="20"/>
        </w:rPr>
      </w:pPr>
      <w:r w:rsidRPr="00784E20">
        <w:rPr>
          <w:color w:val="CC00FF"/>
          <w:sz w:val="20"/>
          <w:szCs w:val="20"/>
        </w:rPr>
        <w:t>[Health plan’s address]</w:t>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r>
      <w:r w:rsidR="008D5750" w:rsidRPr="00784E20">
        <w:rPr>
          <w:color w:val="CC00FF"/>
          <w:sz w:val="20"/>
          <w:szCs w:val="20"/>
        </w:rPr>
        <w:tab/>
        <w:t>[Dates of service]</w:t>
      </w:r>
    </w:p>
    <w:p w14:paraId="099EC8F9" w14:textId="7FDA496D" w:rsidR="005E1996" w:rsidRPr="00784E20" w:rsidRDefault="00176592" w:rsidP="00BB40A2">
      <w:pPr>
        <w:spacing w:after="60" w:line="240" w:lineRule="auto"/>
        <w:rPr>
          <w:color w:val="CC00FF"/>
          <w:sz w:val="20"/>
          <w:szCs w:val="20"/>
        </w:rPr>
      </w:pPr>
      <w:r w:rsidRPr="00784E20">
        <w:rPr>
          <w:color w:val="CC00FF"/>
          <w:sz w:val="20"/>
          <w:szCs w:val="20"/>
        </w:rPr>
        <w:t>[City, State ZIP]</w:t>
      </w:r>
    </w:p>
    <w:p w14:paraId="61707B8C" w14:textId="77777777" w:rsidR="008D5750" w:rsidRDefault="008D5750" w:rsidP="00BB40A2">
      <w:pPr>
        <w:spacing w:after="60" w:line="240" w:lineRule="auto"/>
        <w:rPr>
          <w:sz w:val="20"/>
          <w:szCs w:val="20"/>
        </w:rPr>
      </w:pPr>
    </w:p>
    <w:p w14:paraId="4CC15EEF" w14:textId="2F32B456" w:rsidR="008D5750" w:rsidRPr="00057B8A" w:rsidRDefault="008D5750" w:rsidP="00BB40A2">
      <w:pPr>
        <w:spacing w:after="60" w:line="240" w:lineRule="auto"/>
        <w:rPr>
          <w:sz w:val="20"/>
          <w:szCs w:val="20"/>
        </w:rPr>
      </w:pPr>
      <w:r w:rsidRPr="00057B8A">
        <w:rPr>
          <w:sz w:val="20"/>
          <w:szCs w:val="20"/>
        </w:rPr>
        <w:t xml:space="preserve">Re: </w:t>
      </w:r>
      <w:r w:rsidR="007C785F">
        <w:rPr>
          <w:sz w:val="20"/>
          <w:szCs w:val="20"/>
        </w:rPr>
        <w:t>Appeal of Denial</w:t>
      </w:r>
      <w:r w:rsidRPr="00057B8A">
        <w:rPr>
          <w:sz w:val="20"/>
          <w:szCs w:val="20"/>
        </w:rPr>
        <w:t xml:space="preserve"> for EOHILIA</w:t>
      </w:r>
      <w:r w:rsidR="006E5E1E" w:rsidRPr="00057B8A">
        <w:rPr>
          <w:rFonts w:cstheme="minorHAnsi"/>
          <w:sz w:val="20"/>
          <w:szCs w:val="20"/>
        </w:rPr>
        <w:t>™</w:t>
      </w:r>
      <w:r w:rsidRPr="00057B8A">
        <w:rPr>
          <w:sz w:val="20"/>
          <w:szCs w:val="20"/>
        </w:rPr>
        <w:t xml:space="preserve"> (budesonide oral suspension)</w:t>
      </w:r>
    </w:p>
    <w:p w14:paraId="4142E3D8" w14:textId="77777777" w:rsidR="008D5750" w:rsidRDefault="008D5750" w:rsidP="00BB40A2">
      <w:pPr>
        <w:spacing w:after="60" w:line="240" w:lineRule="auto"/>
        <w:rPr>
          <w:sz w:val="20"/>
          <w:szCs w:val="20"/>
        </w:rPr>
      </w:pPr>
    </w:p>
    <w:p w14:paraId="2B842BCC" w14:textId="2091CDDD" w:rsidR="008D5750" w:rsidRDefault="008D5750" w:rsidP="00BB40A2">
      <w:pPr>
        <w:spacing w:after="60" w:line="240" w:lineRule="auto"/>
        <w:rPr>
          <w:sz w:val="20"/>
          <w:szCs w:val="20"/>
        </w:rPr>
      </w:pPr>
      <w:r>
        <w:rPr>
          <w:sz w:val="20"/>
          <w:szCs w:val="20"/>
        </w:rPr>
        <w:t xml:space="preserve">Dear </w:t>
      </w:r>
      <w:r w:rsidRPr="003B19C9">
        <w:rPr>
          <w:color w:val="CC00FF"/>
          <w:sz w:val="20"/>
          <w:szCs w:val="20"/>
        </w:rPr>
        <w:t xml:space="preserve">[Medical </w:t>
      </w:r>
      <w:r w:rsidR="005F5093">
        <w:rPr>
          <w:color w:val="CC00FF"/>
          <w:sz w:val="20"/>
          <w:szCs w:val="20"/>
        </w:rPr>
        <w:t>d</w:t>
      </w:r>
      <w:r w:rsidRPr="003B19C9">
        <w:rPr>
          <w:color w:val="CC00FF"/>
          <w:sz w:val="20"/>
          <w:szCs w:val="20"/>
        </w:rPr>
        <w:t>irector</w:t>
      </w:r>
      <w:r w:rsidR="005F5093">
        <w:rPr>
          <w:color w:val="CC00FF"/>
          <w:sz w:val="20"/>
          <w:szCs w:val="20"/>
        </w:rPr>
        <w:t>’s</w:t>
      </w:r>
      <w:r w:rsidRPr="003B19C9">
        <w:rPr>
          <w:color w:val="CC00FF"/>
          <w:sz w:val="20"/>
          <w:szCs w:val="20"/>
        </w:rPr>
        <w:t xml:space="preserve"> </w:t>
      </w:r>
      <w:r w:rsidR="005F5093">
        <w:rPr>
          <w:color w:val="CC00FF"/>
          <w:sz w:val="20"/>
          <w:szCs w:val="20"/>
        </w:rPr>
        <w:t>n</w:t>
      </w:r>
      <w:r w:rsidRPr="003B19C9">
        <w:rPr>
          <w:color w:val="CC00FF"/>
          <w:sz w:val="20"/>
          <w:szCs w:val="20"/>
        </w:rPr>
        <w:t>ame]</w:t>
      </w:r>
      <w:r>
        <w:rPr>
          <w:sz w:val="20"/>
          <w:szCs w:val="20"/>
        </w:rPr>
        <w:t>,</w:t>
      </w:r>
    </w:p>
    <w:p w14:paraId="07889793" w14:textId="77777777" w:rsidR="008D5750" w:rsidRDefault="008D5750" w:rsidP="00BB40A2">
      <w:pPr>
        <w:spacing w:after="60" w:line="240" w:lineRule="auto"/>
        <w:rPr>
          <w:sz w:val="20"/>
          <w:szCs w:val="20"/>
        </w:rPr>
      </w:pPr>
    </w:p>
    <w:p w14:paraId="6A6DC27A" w14:textId="57C5F865" w:rsidR="001D0BBE" w:rsidRDefault="008D5750" w:rsidP="00BB40A2">
      <w:pPr>
        <w:spacing w:after="60" w:line="240" w:lineRule="auto"/>
        <w:rPr>
          <w:sz w:val="20"/>
          <w:szCs w:val="20"/>
        </w:rPr>
      </w:pPr>
      <w:r>
        <w:rPr>
          <w:sz w:val="20"/>
          <w:szCs w:val="20"/>
        </w:rPr>
        <w:t>I am writing</w:t>
      </w:r>
      <w:r w:rsidR="001D0BBE">
        <w:rPr>
          <w:sz w:val="20"/>
          <w:szCs w:val="20"/>
        </w:rPr>
        <w:t xml:space="preserve"> to appeal the denial of coverage for EOHILIA </w:t>
      </w:r>
      <w:r w:rsidR="00502ED2">
        <w:rPr>
          <w:sz w:val="20"/>
          <w:szCs w:val="20"/>
        </w:rPr>
        <w:t xml:space="preserve">on behalf of my patient, </w:t>
      </w:r>
      <w:r w:rsidR="00502ED2" w:rsidRPr="008E2B58">
        <w:rPr>
          <w:color w:val="CC00FF"/>
          <w:sz w:val="20"/>
          <w:szCs w:val="20"/>
        </w:rPr>
        <w:t>[patient’s name]</w:t>
      </w:r>
      <w:r w:rsidR="00502ED2">
        <w:rPr>
          <w:sz w:val="20"/>
          <w:szCs w:val="20"/>
        </w:rPr>
        <w:t>. EOHILIA was approved by the US Food and Drug Administration (FDA) in February 2024 and is indicated for 12 weeks of treatment in adult and pediatric patients 11 years of age and older with eosinophilic esophagitis (</w:t>
      </w:r>
      <w:proofErr w:type="spellStart"/>
      <w:r w:rsidR="00502ED2">
        <w:rPr>
          <w:sz w:val="20"/>
          <w:szCs w:val="20"/>
        </w:rPr>
        <w:t>EoE</w:t>
      </w:r>
      <w:proofErr w:type="spellEnd"/>
      <w:r w:rsidR="00502ED2">
        <w:rPr>
          <w:sz w:val="20"/>
          <w:szCs w:val="20"/>
        </w:rPr>
        <w:t>). I have read and acknowledged your drug coverage policy</w:t>
      </w:r>
      <w:r w:rsidR="00723E88">
        <w:rPr>
          <w:sz w:val="20"/>
          <w:szCs w:val="20"/>
        </w:rPr>
        <w:t xml:space="preserve"> for </w:t>
      </w:r>
      <w:r w:rsidR="00C54184">
        <w:rPr>
          <w:sz w:val="20"/>
          <w:szCs w:val="20"/>
        </w:rPr>
        <w:t xml:space="preserve">responsible management of drugs for </w:t>
      </w:r>
      <w:proofErr w:type="spellStart"/>
      <w:r w:rsidR="00C54184">
        <w:rPr>
          <w:sz w:val="20"/>
          <w:szCs w:val="20"/>
        </w:rPr>
        <w:t>EoE</w:t>
      </w:r>
      <w:proofErr w:type="spellEnd"/>
      <w:r w:rsidR="00C54184">
        <w:rPr>
          <w:sz w:val="20"/>
          <w:szCs w:val="20"/>
        </w:rPr>
        <w:t xml:space="preserve">, </w:t>
      </w:r>
      <w:r w:rsidR="00C54184" w:rsidRPr="00990728">
        <w:rPr>
          <w:color w:val="CC00FF"/>
          <w:sz w:val="20"/>
          <w:szCs w:val="20"/>
        </w:rPr>
        <w:t>[insert appropriate ICD-10-</w:t>
      </w:r>
      <w:r w:rsidR="002615E8" w:rsidRPr="00990728">
        <w:rPr>
          <w:color w:val="CC00FF"/>
          <w:sz w:val="20"/>
          <w:szCs w:val="20"/>
        </w:rPr>
        <w:t>CM/ICD-11-CM code here]</w:t>
      </w:r>
      <w:r w:rsidR="002615E8">
        <w:rPr>
          <w:sz w:val="20"/>
          <w:szCs w:val="20"/>
        </w:rPr>
        <w:t xml:space="preserve">. The reason given for the denial was </w:t>
      </w:r>
      <w:r w:rsidR="002615E8" w:rsidRPr="00990728">
        <w:rPr>
          <w:color w:val="CC00FF"/>
          <w:sz w:val="20"/>
          <w:szCs w:val="20"/>
        </w:rPr>
        <w:t>[state reason from insurer’s letter]</w:t>
      </w:r>
      <w:r w:rsidR="002615E8">
        <w:rPr>
          <w:sz w:val="20"/>
          <w:szCs w:val="20"/>
        </w:rPr>
        <w:t>. After reviewing the denial letter, I continue to believe that EOHILIA is appropriate treatment for this patient. Listed below is a summary of the relevant clinical history.</w:t>
      </w:r>
    </w:p>
    <w:p w14:paraId="672F8258" w14:textId="1DDC55D0" w:rsidR="00C54184" w:rsidRDefault="00C54184" w:rsidP="00BB40A2">
      <w:pPr>
        <w:spacing w:after="60" w:line="240" w:lineRule="auto"/>
        <w:rPr>
          <w:sz w:val="20"/>
          <w:szCs w:val="20"/>
        </w:rPr>
      </w:pPr>
    </w:p>
    <w:p w14:paraId="0692BD64" w14:textId="751DBCC6" w:rsidR="002C645D" w:rsidRPr="00CD2085" w:rsidRDefault="002C645D" w:rsidP="00BB40A2">
      <w:pPr>
        <w:spacing w:after="60" w:line="240" w:lineRule="auto"/>
        <w:rPr>
          <w:b/>
          <w:bCs/>
          <w:sz w:val="20"/>
          <w:szCs w:val="20"/>
        </w:rPr>
      </w:pPr>
      <w:r w:rsidRPr="00CD2085">
        <w:rPr>
          <w:b/>
          <w:bCs/>
          <w:sz w:val="20"/>
          <w:szCs w:val="20"/>
        </w:rPr>
        <w:t>Patient diagnosis, current condition, and medical history in support of the appeal:</w:t>
      </w:r>
    </w:p>
    <w:p w14:paraId="6CDB0B49" w14:textId="77777777" w:rsidR="001D0BBE" w:rsidRPr="002C645D" w:rsidRDefault="001D0BBE" w:rsidP="00BB40A2">
      <w:pPr>
        <w:spacing w:after="60" w:line="240" w:lineRule="auto"/>
        <w:rPr>
          <w:sz w:val="20"/>
          <w:szCs w:val="20"/>
        </w:rPr>
      </w:pPr>
    </w:p>
    <w:p w14:paraId="0A43FD5A" w14:textId="343E868F" w:rsidR="008D5750" w:rsidRPr="00CD2085" w:rsidRDefault="00E42B3C" w:rsidP="00BB40A2">
      <w:pPr>
        <w:spacing w:after="60" w:line="240" w:lineRule="auto"/>
        <w:rPr>
          <w:color w:val="CC00FF"/>
          <w:sz w:val="20"/>
          <w:szCs w:val="20"/>
        </w:rPr>
      </w:pPr>
      <w:r w:rsidRPr="00CD2085">
        <w:rPr>
          <w:color w:val="CC00FF"/>
          <w:sz w:val="20"/>
          <w:szCs w:val="20"/>
        </w:rPr>
        <w:t>[You may include:</w:t>
      </w:r>
    </w:p>
    <w:p w14:paraId="551918B5" w14:textId="3A11A7EF" w:rsidR="005F1F33" w:rsidRDefault="005F1F33" w:rsidP="00BB40A2">
      <w:pPr>
        <w:pStyle w:val="ListParagraph"/>
        <w:numPr>
          <w:ilvl w:val="0"/>
          <w:numId w:val="1"/>
        </w:numPr>
        <w:spacing w:after="60" w:line="240" w:lineRule="auto"/>
        <w:rPr>
          <w:color w:val="CC00FF"/>
          <w:sz w:val="20"/>
          <w:szCs w:val="20"/>
        </w:rPr>
      </w:pPr>
      <w:r>
        <w:rPr>
          <w:color w:val="CC00FF"/>
          <w:sz w:val="20"/>
          <w:szCs w:val="20"/>
        </w:rPr>
        <w:t>r</w:t>
      </w:r>
      <w:r w:rsidR="004C5287">
        <w:rPr>
          <w:color w:val="CC00FF"/>
          <w:sz w:val="20"/>
          <w:szCs w:val="20"/>
        </w:rPr>
        <w:t xml:space="preserve">elevant </w:t>
      </w:r>
      <w:r w:rsidR="00E262C0" w:rsidRPr="00ED44D5">
        <w:rPr>
          <w:color w:val="CC00FF"/>
          <w:sz w:val="20"/>
          <w:szCs w:val="20"/>
        </w:rPr>
        <w:t xml:space="preserve">medical </w:t>
      </w:r>
      <w:r>
        <w:rPr>
          <w:color w:val="CC00FF"/>
          <w:sz w:val="20"/>
          <w:szCs w:val="20"/>
        </w:rPr>
        <w:t xml:space="preserve">information to support your reason for treatment with </w:t>
      </w:r>
      <w:proofErr w:type="gramStart"/>
      <w:r>
        <w:rPr>
          <w:color w:val="CC00FF"/>
          <w:sz w:val="20"/>
          <w:szCs w:val="20"/>
        </w:rPr>
        <w:t>EOHILIA</w:t>
      </w:r>
      <w:proofErr w:type="gramEnd"/>
    </w:p>
    <w:p w14:paraId="2C3AAC3A" w14:textId="20D4E244" w:rsidR="00E262C0" w:rsidRDefault="00E262C0" w:rsidP="00BB40A2">
      <w:pPr>
        <w:pStyle w:val="ListParagraph"/>
        <w:numPr>
          <w:ilvl w:val="0"/>
          <w:numId w:val="1"/>
        </w:numPr>
        <w:spacing w:after="60" w:line="240" w:lineRule="auto"/>
        <w:rPr>
          <w:color w:val="CC00FF"/>
          <w:sz w:val="20"/>
          <w:szCs w:val="20"/>
        </w:rPr>
      </w:pPr>
      <w:r w:rsidRPr="00ED44D5">
        <w:rPr>
          <w:color w:val="CC00FF"/>
          <w:sz w:val="20"/>
          <w:szCs w:val="20"/>
        </w:rPr>
        <w:t>p</w:t>
      </w:r>
      <w:r w:rsidR="005F1F33">
        <w:rPr>
          <w:color w:val="CC00FF"/>
          <w:sz w:val="20"/>
          <w:szCs w:val="20"/>
        </w:rPr>
        <w:t>atient’s history of</w:t>
      </w:r>
      <w:r w:rsidRPr="00ED44D5">
        <w:rPr>
          <w:color w:val="CC00FF"/>
          <w:sz w:val="20"/>
          <w:szCs w:val="20"/>
        </w:rPr>
        <w:t xml:space="preserve"> treatment</w:t>
      </w:r>
    </w:p>
    <w:p w14:paraId="689803BE" w14:textId="694097E9" w:rsidR="005F1F33" w:rsidRDefault="005F1F33" w:rsidP="00BB40A2">
      <w:pPr>
        <w:pStyle w:val="ListParagraph"/>
        <w:numPr>
          <w:ilvl w:val="0"/>
          <w:numId w:val="1"/>
        </w:numPr>
        <w:spacing w:after="60" w:line="240" w:lineRule="auto"/>
        <w:rPr>
          <w:color w:val="CC00FF"/>
          <w:sz w:val="20"/>
          <w:szCs w:val="20"/>
        </w:rPr>
      </w:pPr>
      <w:r>
        <w:rPr>
          <w:color w:val="CC00FF"/>
          <w:sz w:val="20"/>
          <w:szCs w:val="20"/>
        </w:rPr>
        <w:t xml:space="preserve">supporting documentation as requested by the plan in their denial </w:t>
      </w:r>
      <w:proofErr w:type="gramStart"/>
      <w:r>
        <w:rPr>
          <w:color w:val="CC00FF"/>
          <w:sz w:val="20"/>
          <w:szCs w:val="20"/>
        </w:rPr>
        <w:t>letter</w:t>
      </w:r>
      <w:proofErr w:type="gramEnd"/>
    </w:p>
    <w:p w14:paraId="13F04E1A" w14:textId="29600F12" w:rsidR="005F1F33" w:rsidRPr="00ED44D5" w:rsidRDefault="005F1F33" w:rsidP="00BB40A2">
      <w:pPr>
        <w:pStyle w:val="ListParagraph"/>
        <w:numPr>
          <w:ilvl w:val="0"/>
          <w:numId w:val="1"/>
        </w:numPr>
        <w:spacing w:after="60" w:line="240" w:lineRule="auto"/>
        <w:rPr>
          <w:color w:val="CC00FF"/>
          <w:sz w:val="20"/>
          <w:szCs w:val="20"/>
        </w:rPr>
      </w:pPr>
      <w:r>
        <w:rPr>
          <w:color w:val="CC00FF"/>
          <w:sz w:val="20"/>
          <w:szCs w:val="20"/>
        </w:rPr>
        <w:t>your assessment as to why EOHILIA is appropriate</w:t>
      </w:r>
      <w:r w:rsidR="00273538">
        <w:rPr>
          <w:color w:val="CC00FF"/>
          <w:sz w:val="20"/>
          <w:szCs w:val="20"/>
        </w:rPr>
        <w:t xml:space="preserve"> for this patient based on medical evidence]</w:t>
      </w:r>
    </w:p>
    <w:p w14:paraId="13CFA3EA" w14:textId="77777777" w:rsidR="00D66A1B" w:rsidRDefault="00D66A1B" w:rsidP="00BB40A2">
      <w:pPr>
        <w:spacing w:after="60" w:line="240" w:lineRule="auto"/>
        <w:rPr>
          <w:sz w:val="20"/>
          <w:szCs w:val="20"/>
        </w:rPr>
      </w:pPr>
    </w:p>
    <w:p w14:paraId="432E08D1" w14:textId="145E2BCD" w:rsidR="00D66A1B" w:rsidRDefault="00D66A1B" w:rsidP="00BB40A2">
      <w:pPr>
        <w:spacing w:after="60" w:line="240" w:lineRule="auto"/>
        <w:rPr>
          <w:sz w:val="20"/>
          <w:szCs w:val="20"/>
        </w:rPr>
      </w:pPr>
      <w:r>
        <w:rPr>
          <w:sz w:val="20"/>
          <w:szCs w:val="20"/>
        </w:rPr>
        <w:t>I</w:t>
      </w:r>
      <w:r w:rsidR="003F4406">
        <w:rPr>
          <w:sz w:val="20"/>
          <w:szCs w:val="20"/>
        </w:rPr>
        <w:t xml:space="preserve"> have prescribed EOHILIA as a medically necessary part of this patient’s treatment, and request that you reassess the denial of coverage.</w:t>
      </w:r>
    </w:p>
    <w:p w14:paraId="208E32A4" w14:textId="77777777" w:rsidR="00D66A1B" w:rsidRDefault="00D66A1B" w:rsidP="00BB40A2">
      <w:pPr>
        <w:spacing w:after="60" w:line="240" w:lineRule="auto"/>
        <w:rPr>
          <w:sz w:val="20"/>
          <w:szCs w:val="20"/>
        </w:rPr>
      </w:pPr>
    </w:p>
    <w:p w14:paraId="5DD1BCC9" w14:textId="34FEA38E" w:rsidR="00D66A1B" w:rsidRDefault="003F4406" w:rsidP="00BB40A2">
      <w:pPr>
        <w:spacing w:after="60" w:line="240" w:lineRule="auto"/>
        <w:rPr>
          <w:sz w:val="20"/>
          <w:szCs w:val="20"/>
        </w:rPr>
      </w:pPr>
      <w:r>
        <w:rPr>
          <w:sz w:val="20"/>
          <w:szCs w:val="20"/>
        </w:rPr>
        <w:t>P</w:t>
      </w:r>
      <w:r w:rsidR="00D66A1B">
        <w:rPr>
          <w:sz w:val="20"/>
          <w:szCs w:val="20"/>
        </w:rPr>
        <w:t xml:space="preserve">lease contact me at </w:t>
      </w:r>
      <w:r w:rsidR="00D66A1B" w:rsidRPr="00ED44D5">
        <w:rPr>
          <w:color w:val="CC00FF"/>
          <w:sz w:val="20"/>
          <w:szCs w:val="20"/>
        </w:rPr>
        <w:t>[physician</w:t>
      </w:r>
      <w:r>
        <w:rPr>
          <w:color w:val="CC00FF"/>
          <w:sz w:val="20"/>
          <w:szCs w:val="20"/>
        </w:rPr>
        <w:t>’s</w:t>
      </w:r>
      <w:r w:rsidR="00D66A1B" w:rsidRPr="00ED44D5">
        <w:rPr>
          <w:color w:val="CC00FF"/>
          <w:sz w:val="20"/>
          <w:szCs w:val="20"/>
        </w:rPr>
        <w:t xml:space="preserve"> phone number] </w:t>
      </w:r>
      <w:r w:rsidR="00D66A1B">
        <w:rPr>
          <w:sz w:val="20"/>
          <w:szCs w:val="20"/>
        </w:rPr>
        <w:t xml:space="preserve">or via email at </w:t>
      </w:r>
      <w:r w:rsidR="00D66A1B" w:rsidRPr="004451E9">
        <w:rPr>
          <w:color w:val="CC00FF"/>
          <w:sz w:val="20"/>
          <w:szCs w:val="20"/>
        </w:rPr>
        <w:t>[physician</w:t>
      </w:r>
      <w:r>
        <w:rPr>
          <w:color w:val="CC00FF"/>
          <w:sz w:val="20"/>
          <w:szCs w:val="20"/>
        </w:rPr>
        <w:t>’s</w:t>
      </w:r>
      <w:r w:rsidR="00D66A1B" w:rsidRPr="004451E9">
        <w:rPr>
          <w:color w:val="CC00FF"/>
          <w:sz w:val="20"/>
          <w:szCs w:val="20"/>
        </w:rPr>
        <w:t xml:space="preserve"> email]</w:t>
      </w:r>
      <w:r w:rsidR="009327FD">
        <w:rPr>
          <w:sz w:val="20"/>
          <w:szCs w:val="20"/>
        </w:rPr>
        <w:t xml:space="preserve"> for any additional information you may require in support of this appeal. </w:t>
      </w:r>
      <w:r w:rsidR="00D66A1B">
        <w:rPr>
          <w:sz w:val="20"/>
          <w:szCs w:val="20"/>
        </w:rPr>
        <w:t xml:space="preserve">Thank you for your </w:t>
      </w:r>
      <w:r w:rsidR="009327FD">
        <w:rPr>
          <w:sz w:val="20"/>
          <w:szCs w:val="20"/>
        </w:rPr>
        <w:t>immediate attention to this request.</w:t>
      </w:r>
    </w:p>
    <w:p w14:paraId="016800D8" w14:textId="77777777" w:rsidR="00D66A1B" w:rsidRDefault="00D66A1B" w:rsidP="00BB40A2">
      <w:pPr>
        <w:spacing w:after="60" w:line="240" w:lineRule="auto"/>
        <w:rPr>
          <w:sz w:val="20"/>
          <w:szCs w:val="20"/>
        </w:rPr>
      </w:pPr>
    </w:p>
    <w:p w14:paraId="0FDAAA47" w14:textId="24C63F5A" w:rsidR="00D66A1B" w:rsidRDefault="00D66A1B" w:rsidP="00BB40A2">
      <w:pPr>
        <w:spacing w:after="60" w:line="240" w:lineRule="auto"/>
        <w:rPr>
          <w:sz w:val="20"/>
          <w:szCs w:val="20"/>
        </w:rPr>
      </w:pPr>
      <w:r>
        <w:rPr>
          <w:sz w:val="20"/>
          <w:szCs w:val="20"/>
        </w:rPr>
        <w:t>Sincerely,</w:t>
      </w:r>
    </w:p>
    <w:p w14:paraId="1614B750" w14:textId="77777777" w:rsidR="00D66A1B" w:rsidRDefault="00D66A1B" w:rsidP="00BB40A2">
      <w:pPr>
        <w:spacing w:after="60" w:line="240" w:lineRule="auto"/>
        <w:rPr>
          <w:sz w:val="20"/>
          <w:szCs w:val="20"/>
        </w:rPr>
      </w:pPr>
    </w:p>
    <w:p w14:paraId="47366334" w14:textId="7FB5804C" w:rsidR="00D66A1B" w:rsidRPr="00ED44D5" w:rsidRDefault="00D66A1B" w:rsidP="00BB40A2">
      <w:pPr>
        <w:spacing w:after="60" w:line="240" w:lineRule="auto"/>
        <w:rPr>
          <w:color w:val="CC00FF"/>
          <w:sz w:val="20"/>
          <w:szCs w:val="20"/>
        </w:rPr>
      </w:pPr>
      <w:r w:rsidRPr="00ED44D5">
        <w:rPr>
          <w:color w:val="CC00FF"/>
          <w:sz w:val="20"/>
          <w:szCs w:val="20"/>
        </w:rPr>
        <w:t>[Physician’s signature]</w:t>
      </w:r>
    </w:p>
    <w:p w14:paraId="232BDAD5" w14:textId="77777777" w:rsidR="00D66A1B" w:rsidRDefault="00D66A1B" w:rsidP="00BB40A2">
      <w:pPr>
        <w:spacing w:after="60" w:line="240" w:lineRule="auto"/>
        <w:rPr>
          <w:sz w:val="20"/>
          <w:szCs w:val="20"/>
        </w:rPr>
      </w:pPr>
    </w:p>
    <w:p w14:paraId="1D496C23" w14:textId="792F3A66" w:rsidR="00D66A1B" w:rsidRDefault="00BB40A2" w:rsidP="00BB40A2">
      <w:pPr>
        <w:spacing w:after="60" w:line="240" w:lineRule="auto"/>
        <w:rPr>
          <w:sz w:val="20"/>
          <w:szCs w:val="20"/>
        </w:rPr>
      </w:pPr>
      <w:r w:rsidRPr="008725F1">
        <w:rPr>
          <w:b/>
          <w:bCs/>
          <w:sz w:val="20"/>
          <w:szCs w:val="20"/>
        </w:rPr>
        <w:t>Enclosures</w:t>
      </w:r>
      <w:r w:rsidR="008725F1" w:rsidRPr="008725F1">
        <w:rPr>
          <w:b/>
          <w:bCs/>
          <w:sz w:val="20"/>
          <w:szCs w:val="20"/>
        </w:rPr>
        <w:t>:</w:t>
      </w:r>
      <w:r w:rsidR="008725F1">
        <w:rPr>
          <w:sz w:val="20"/>
          <w:szCs w:val="20"/>
        </w:rPr>
        <w:t xml:space="preserve"> </w:t>
      </w:r>
      <w:r w:rsidR="008725F1" w:rsidRPr="00ED44D5">
        <w:rPr>
          <w:color w:val="CC00FF"/>
          <w:sz w:val="20"/>
          <w:szCs w:val="20"/>
        </w:rPr>
        <w:t>[List</w:t>
      </w:r>
      <w:r w:rsidR="00B721DA">
        <w:rPr>
          <w:color w:val="CC00FF"/>
          <w:sz w:val="20"/>
          <w:szCs w:val="20"/>
        </w:rPr>
        <w:t xml:space="preserve"> enclosures, which may include: the Explanation of Benefits/denial letter, copies of original claim form, Letter of Medical Exception, clinical notes/diagnostic</w:t>
      </w:r>
      <w:r w:rsidR="00FD5974">
        <w:rPr>
          <w:color w:val="CC00FF"/>
          <w:sz w:val="20"/>
          <w:szCs w:val="20"/>
        </w:rPr>
        <w:t xml:space="preserve"> pathology report, medication records, relevant laboratory reports that support the need for EOHILIA, and other supporting documentation</w:t>
      </w:r>
      <w:r w:rsidR="008725F1" w:rsidRPr="00ED44D5">
        <w:rPr>
          <w:color w:val="CC00FF"/>
          <w:sz w:val="20"/>
          <w:szCs w:val="20"/>
        </w:rPr>
        <w:t>.]</w:t>
      </w:r>
    </w:p>
    <w:p w14:paraId="531A07EB" w14:textId="77777777" w:rsidR="008725F1" w:rsidRDefault="008725F1" w:rsidP="00BB40A2">
      <w:pPr>
        <w:spacing w:after="60" w:line="240" w:lineRule="auto"/>
        <w:rPr>
          <w:sz w:val="20"/>
          <w:szCs w:val="20"/>
        </w:rPr>
      </w:pPr>
    </w:p>
    <w:p w14:paraId="64666FB7" w14:textId="056AA2A7" w:rsidR="009D3DE8" w:rsidRPr="00767331" w:rsidRDefault="00D5744B" w:rsidP="00767331">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u w:val="single"/>
        </w:rPr>
        <w:lastRenderedPageBreak/>
        <w:t>IMPORTANT SAFETY INFORMATION</w:t>
      </w:r>
      <w:r w:rsidRPr="00D5744B">
        <w:rPr>
          <w:rFonts w:cstheme="minorHAnsi"/>
          <w:b/>
          <w:color w:val="2F5496" w:themeColor="accent1" w:themeShade="BF"/>
          <w:sz w:val="20"/>
          <w:szCs w:val="20"/>
        </w:rPr>
        <w:t xml:space="preserve"> (cont’d)</w:t>
      </w:r>
    </w:p>
    <w:p w14:paraId="3A44DC07" w14:textId="66EE8980" w:rsidR="009D3DE8" w:rsidRDefault="005302F2" w:rsidP="00767331">
      <w:pPr>
        <w:tabs>
          <w:tab w:val="left" w:pos="900"/>
        </w:tabs>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WARNINGS AND PRECAUTIONS</w:t>
      </w:r>
    </w:p>
    <w:p w14:paraId="7703FEF2" w14:textId="5E5D36BF" w:rsidR="00602A8D" w:rsidRPr="003B02DF" w:rsidRDefault="005302F2" w:rsidP="003B02DF">
      <w:pPr>
        <w:tabs>
          <w:tab w:val="left" w:pos="900"/>
        </w:tabs>
        <w:spacing w:line="240" w:lineRule="auto"/>
        <w:rPr>
          <w:rFonts w:cstheme="minorHAnsi"/>
          <w:b/>
          <w:bCs/>
          <w:iCs/>
          <w:color w:val="2F5496" w:themeColor="accent1" w:themeShade="BF"/>
          <w:sz w:val="20"/>
          <w:szCs w:val="20"/>
        </w:rPr>
      </w:pPr>
      <w:proofErr w:type="spellStart"/>
      <w:r w:rsidRPr="00AF4CCC">
        <w:rPr>
          <w:rFonts w:cstheme="minorHAnsi"/>
          <w:b/>
          <w:bCs/>
          <w:iCs/>
          <w:color w:val="2F5496" w:themeColor="accent1" w:themeShade="BF"/>
          <w:sz w:val="20"/>
          <w:szCs w:val="20"/>
        </w:rPr>
        <w:t>Hypercorticism</w:t>
      </w:r>
      <w:proofErr w:type="spellEnd"/>
      <w:r w:rsidRPr="00AF4CCC">
        <w:rPr>
          <w:rFonts w:cstheme="minorHAnsi"/>
          <w:b/>
          <w:bCs/>
          <w:iCs/>
          <w:color w:val="2F5496" w:themeColor="accent1" w:themeShade="BF"/>
          <w:sz w:val="20"/>
          <w:szCs w:val="20"/>
        </w:rPr>
        <w:t xml:space="preserve"> and Adrenal Axis Suppression</w:t>
      </w:r>
      <w:r w:rsidR="003B02DF">
        <w:rPr>
          <w:rFonts w:cstheme="minorHAnsi"/>
          <w:b/>
          <w:bCs/>
          <w:iCs/>
          <w:color w:val="2F5496" w:themeColor="accent1" w:themeShade="BF"/>
          <w:sz w:val="20"/>
          <w:szCs w:val="20"/>
        </w:rPr>
        <w:br/>
      </w:r>
      <w:r w:rsidRPr="00AF4CCC">
        <w:rPr>
          <w:rFonts w:cstheme="minorHAnsi"/>
          <w:iCs/>
          <w:sz w:val="20"/>
          <w:szCs w:val="20"/>
        </w:rPr>
        <w:t xml:space="preserve">Systemic effects such as </w:t>
      </w:r>
      <w:proofErr w:type="spellStart"/>
      <w:r w:rsidRPr="00AF4CCC">
        <w:rPr>
          <w:rFonts w:cstheme="minorHAnsi"/>
          <w:iCs/>
          <w:sz w:val="20"/>
          <w:szCs w:val="20"/>
        </w:rPr>
        <w:t>hypercorticism</w:t>
      </w:r>
      <w:proofErr w:type="spellEnd"/>
      <w:r w:rsidRPr="00AF4CCC">
        <w:rPr>
          <w:rFonts w:cstheme="minorHAnsi"/>
          <w:iCs/>
          <w:sz w:val="20"/>
          <w:szCs w:val="20"/>
        </w:rPr>
        <w:t xml:space="preserve"> and adrenal axis suppression may occur.</w:t>
      </w:r>
      <w:r w:rsidRPr="00AF4CCC">
        <w:rPr>
          <w:rFonts w:cstheme="minorHAnsi"/>
          <w:sz w:val="20"/>
          <w:szCs w:val="20"/>
        </w:rPr>
        <w:t xml:space="preserve"> Monitor patients for signs and symptoms and consider reducing the dosage of EOHILIA. </w:t>
      </w:r>
      <w:r w:rsidRPr="00AF4CCC">
        <w:rPr>
          <w:rFonts w:cstheme="minorHAnsi"/>
          <w:iCs/>
          <w:sz w:val="20"/>
          <w:szCs w:val="20"/>
        </w:rPr>
        <w:t>Use is not recommended in patients with severe hepatic impairment (Child</w:t>
      </w:r>
      <w:r w:rsidRPr="00AF4CCC">
        <w:rPr>
          <w:rFonts w:cstheme="minorHAnsi"/>
          <w:iCs/>
          <w:sz w:val="20"/>
          <w:szCs w:val="20"/>
        </w:rPr>
        <w:noBreakHyphen/>
        <w:t xml:space="preserve">Pugh Class C) and monitoring for signs and/or symptoms of </w:t>
      </w:r>
      <w:proofErr w:type="spellStart"/>
      <w:r w:rsidRPr="00AF4CCC">
        <w:rPr>
          <w:rFonts w:cstheme="minorHAnsi"/>
          <w:iCs/>
          <w:sz w:val="20"/>
          <w:szCs w:val="20"/>
        </w:rPr>
        <w:t>hypercorticism</w:t>
      </w:r>
      <w:proofErr w:type="spellEnd"/>
      <w:r w:rsidRPr="00AF4CCC">
        <w:rPr>
          <w:rFonts w:cstheme="minorHAnsi"/>
          <w:iCs/>
          <w:sz w:val="20"/>
          <w:szCs w:val="20"/>
        </w:rPr>
        <w:t xml:space="preserve"> is recommended in patients with moderate hepatic impairment (Child</w:t>
      </w:r>
      <w:r w:rsidRPr="00AF4CCC">
        <w:rPr>
          <w:rFonts w:cstheme="minorHAnsi"/>
          <w:iCs/>
          <w:sz w:val="20"/>
          <w:szCs w:val="20"/>
        </w:rPr>
        <w:noBreakHyphen/>
        <w:t>Pugh Class B).</w:t>
      </w:r>
    </w:p>
    <w:p w14:paraId="55CF6329" w14:textId="4A73919B" w:rsidR="00602A8D" w:rsidRPr="00602A8D" w:rsidRDefault="00602A8D" w:rsidP="00767331">
      <w:pPr>
        <w:spacing w:line="240" w:lineRule="auto"/>
        <w:rPr>
          <w:rFonts w:cstheme="minorHAnsi"/>
          <w:iCs/>
          <w:sz w:val="20"/>
          <w:szCs w:val="20"/>
        </w:rPr>
      </w:pPr>
      <w:r w:rsidRPr="00AF4CCC">
        <w:rPr>
          <w:rFonts w:cstheme="minorHAnsi"/>
          <w:iCs/>
          <w:sz w:val="20"/>
          <w:szCs w:val="20"/>
        </w:rPr>
        <w:t>Corticosteroids, including EOHILIA, can reduce the response of the hypothalamus-pituitary-adrenal (HPA) axis to stress. In situations where patients are subject to trauma, surgery, infection, or other stress situations, supplementation with a systemic corticosteroid is recommended.</w:t>
      </w:r>
    </w:p>
    <w:p w14:paraId="7D8C66E8" w14:textId="543DD153" w:rsidR="00042FA7" w:rsidRPr="003B02DF" w:rsidRDefault="00602A8D" w:rsidP="00767331">
      <w:pPr>
        <w:tabs>
          <w:tab w:val="left" w:pos="900"/>
        </w:tabs>
        <w:spacing w:line="240" w:lineRule="auto"/>
        <w:rPr>
          <w:rFonts w:cstheme="minorHAnsi"/>
          <w:b/>
          <w:bCs/>
          <w:color w:val="2F5496" w:themeColor="accent1" w:themeShade="BF"/>
          <w:sz w:val="20"/>
          <w:szCs w:val="20"/>
        </w:rPr>
      </w:pPr>
      <w:r>
        <w:rPr>
          <w:rFonts w:cstheme="minorHAnsi"/>
          <w:b/>
          <w:bCs/>
          <w:color w:val="2F5496" w:themeColor="accent1" w:themeShade="BF"/>
          <w:sz w:val="20"/>
          <w:szCs w:val="20"/>
        </w:rPr>
        <w:t xml:space="preserve">Immunosuppression and Increased Risk of Infection </w:t>
      </w:r>
      <w:r w:rsidR="003B02DF">
        <w:rPr>
          <w:rFonts w:cstheme="minorHAnsi"/>
          <w:b/>
          <w:bCs/>
          <w:color w:val="2F5496" w:themeColor="accent1" w:themeShade="BF"/>
          <w:sz w:val="20"/>
          <w:szCs w:val="20"/>
        </w:rPr>
        <w:br/>
      </w:r>
      <w:r w:rsidRPr="00247114">
        <w:rPr>
          <w:rFonts w:cstheme="minorHAnsi"/>
          <w:sz w:val="20"/>
          <w:szCs w:val="20"/>
        </w:rPr>
        <w:t>Corticosteroids, including EOHILIA, suppress the immune system and increase the risk of infection</w:t>
      </w:r>
      <w:r>
        <w:rPr>
          <w:rFonts w:cstheme="minorHAnsi"/>
          <w:sz w:val="20"/>
          <w:szCs w:val="20"/>
        </w:rPr>
        <w:t xml:space="preserve"> with any pathogen. </w:t>
      </w:r>
      <w:r w:rsidRPr="00E2525C">
        <w:rPr>
          <w:rFonts w:cstheme="minorHAnsi"/>
          <w:sz w:val="20"/>
          <w:szCs w:val="20"/>
        </w:rPr>
        <w:t>Corticosteroid-associated infections can be mild</w:t>
      </w:r>
      <w:r>
        <w:rPr>
          <w:rFonts w:cstheme="minorHAnsi"/>
          <w:sz w:val="20"/>
          <w:szCs w:val="20"/>
        </w:rPr>
        <w:t xml:space="preserve">, </w:t>
      </w:r>
      <w:r w:rsidRPr="00E2525C">
        <w:rPr>
          <w:rFonts w:cstheme="minorHAnsi"/>
          <w:sz w:val="20"/>
          <w:szCs w:val="20"/>
        </w:rPr>
        <w:t>severe</w:t>
      </w:r>
      <w:r>
        <w:rPr>
          <w:rFonts w:cstheme="minorHAnsi"/>
          <w:sz w:val="20"/>
          <w:szCs w:val="20"/>
        </w:rPr>
        <w:t>,</w:t>
      </w:r>
      <w:r w:rsidRPr="00E2525C">
        <w:rPr>
          <w:rFonts w:cstheme="minorHAnsi"/>
          <w:sz w:val="20"/>
          <w:szCs w:val="20"/>
        </w:rPr>
        <w:t xml:space="preserve"> and at times fatal. Monitor patients and consider discontinuation of EOHILIA if the patient develops an infection</w:t>
      </w:r>
      <w:r>
        <w:rPr>
          <w:rFonts w:cstheme="minorHAnsi"/>
          <w:sz w:val="20"/>
          <w:szCs w:val="20"/>
        </w:rPr>
        <w:t>.</w:t>
      </w:r>
    </w:p>
    <w:p w14:paraId="5D6B615B" w14:textId="77777777" w:rsidR="00042FA7" w:rsidRDefault="00042FA7" w:rsidP="003B02DF">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Tuberculosis</w:t>
      </w:r>
      <w:r w:rsidRPr="00003D2E">
        <w:rPr>
          <w:rFonts w:cstheme="minorHAnsi"/>
          <w:color w:val="2F5496" w:themeColor="accent1" w:themeShade="BF"/>
          <w:sz w:val="20"/>
          <w:szCs w:val="20"/>
        </w:rPr>
        <w:t xml:space="preserve"> </w:t>
      </w:r>
      <w:r w:rsidRPr="00003D2E">
        <w:rPr>
          <w:rFonts w:cstheme="minorHAnsi"/>
          <w:b/>
          <w:bCs/>
          <w:color w:val="2F5496" w:themeColor="accent1" w:themeShade="BF"/>
          <w:sz w:val="20"/>
          <w:szCs w:val="20"/>
        </w:rPr>
        <w:t>reactivation may occur</w:t>
      </w:r>
      <w:r w:rsidRPr="005158F4">
        <w:rPr>
          <w:rFonts w:cstheme="minorHAnsi"/>
          <w:b/>
          <w:bCs/>
          <w:color w:val="2F5496" w:themeColor="accent1" w:themeShade="BF"/>
          <w:sz w:val="20"/>
          <w:szCs w:val="20"/>
        </w:rPr>
        <w:t>.</w:t>
      </w:r>
      <w:r w:rsidRPr="00003D2E">
        <w:rPr>
          <w:rFonts w:cstheme="minorHAnsi"/>
          <w:color w:val="2F5496" w:themeColor="accent1" w:themeShade="BF"/>
          <w:sz w:val="20"/>
          <w:szCs w:val="20"/>
        </w:rPr>
        <w:t xml:space="preserve"> </w:t>
      </w:r>
      <w:r w:rsidRPr="00AD58C8">
        <w:rPr>
          <w:rFonts w:cstheme="minorHAnsi"/>
          <w:sz w:val="20"/>
          <w:szCs w:val="20"/>
        </w:rPr>
        <w:t>Closely monitor patients with latent tuberculosis or tuberculin reactivit</w:t>
      </w:r>
      <w:r>
        <w:rPr>
          <w:rFonts w:cstheme="minorHAnsi"/>
          <w:sz w:val="20"/>
          <w:szCs w:val="20"/>
        </w:rPr>
        <w:t xml:space="preserve">y </w:t>
      </w:r>
      <w:r w:rsidRPr="00AD58C8">
        <w:rPr>
          <w:rFonts w:cstheme="minorHAnsi"/>
          <w:sz w:val="20"/>
          <w:szCs w:val="20"/>
        </w:rPr>
        <w:t>while receiving EOHILIA.</w:t>
      </w:r>
    </w:p>
    <w:p w14:paraId="7B82D056" w14:textId="77777777" w:rsidR="00042FA7" w:rsidRDefault="00042FA7" w:rsidP="003B02DF">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Varicella Zoster and Measles</w:t>
      </w:r>
      <w:r w:rsidRPr="00003D2E">
        <w:rPr>
          <w:rFonts w:cstheme="minorHAnsi"/>
          <w:color w:val="2F5496" w:themeColor="accent1" w:themeShade="BF"/>
          <w:sz w:val="20"/>
          <w:szCs w:val="20"/>
        </w:rPr>
        <w:t xml:space="preserve"> </w:t>
      </w:r>
      <w:r w:rsidRPr="00BD255E">
        <w:rPr>
          <w:rFonts w:cstheme="minorHAnsi"/>
          <w:sz w:val="20"/>
          <w:szCs w:val="20"/>
        </w:rPr>
        <w:t>can</w:t>
      </w:r>
      <w:r>
        <w:rPr>
          <w:rFonts w:cstheme="minorHAnsi"/>
          <w:sz w:val="20"/>
          <w:szCs w:val="20"/>
        </w:rPr>
        <w:t xml:space="preserve"> be </w:t>
      </w:r>
      <w:r w:rsidRPr="00BD255E">
        <w:rPr>
          <w:rFonts w:cstheme="minorHAnsi"/>
          <w:sz w:val="20"/>
          <w:szCs w:val="20"/>
        </w:rPr>
        <w:t xml:space="preserve">serious or fatal in non-immune patients taking corticosteroids. </w:t>
      </w:r>
      <w:r>
        <w:rPr>
          <w:rFonts w:cstheme="minorHAnsi"/>
          <w:sz w:val="20"/>
          <w:szCs w:val="20"/>
        </w:rPr>
        <w:t>A</w:t>
      </w:r>
      <w:r w:rsidRPr="00BD255E">
        <w:rPr>
          <w:rFonts w:cstheme="minorHAnsi"/>
          <w:sz w:val="20"/>
          <w:szCs w:val="20"/>
        </w:rPr>
        <w:t>void exposure</w:t>
      </w:r>
      <w:r>
        <w:rPr>
          <w:rFonts w:cstheme="minorHAnsi"/>
          <w:sz w:val="20"/>
          <w:szCs w:val="20"/>
        </w:rPr>
        <w:t xml:space="preserve">. </w:t>
      </w:r>
      <w:r w:rsidRPr="000D4AA2">
        <w:rPr>
          <w:rFonts w:cstheme="minorHAnsi"/>
          <w:sz w:val="20"/>
          <w:szCs w:val="20"/>
        </w:rPr>
        <w:t xml:space="preserve">If </w:t>
      </w:r>
      <w:r>
        <w:rPr>
          <w:rFonts w:cstheme="minorHAnsi"/>
          <w:sz w:val="20"/>
          <w:szCs w:val="20"/>
        </w:rPr>
        <w:t xml:space="preserve">a patient is </w:t>
      </w:r>
      <w:r w:rsidRPr="000D4AA2">
        <w:rPr>
          <w:rFonts w:cstheme="minorHAnsi"/>
          <w:sz w:val="20"/>
          <w:szCs w:val="20"/>
        </w:rPr>
        <w:t>exposed to varicella, prophylaxis with varicella zoster immune globulin may be indicated. If varicella develops, treatment with antiviral agents may be considered.</w:t>
      </w:r>
      <w:r>
        <w:rPr>
          <w:rFonts w:cstheme="minorHAnsi"/>
          <w:sz w:val="20"/>
          <w:szCs w:val="20"/>
        </w:rPr>
        <w:t xml:space="preserve"> </w:t>
      </w:r>
      <w:r w:rsidRPr="000D4AA2">
        <w:rPr>
          <w:rFonts w:cstheme="minorHAnsi"/>
          <w:sz w:val="20"/>
          <w:szCs w:val="20"/>
        </w:rPr>
        <w:t>If a patient is exposed to measles, prophylaxis with immunoglobulin may be indicated</w:t>
      </w:r>
      <w:r>
        <w:rPr>
          <w:rFonts w:cstheme="minorHAnsi"/>
          <w:sz w:val="20"/>
          <w:szCs w:val="20"/>
        </w:rPr>
        <w:t>.</w:t>
      </w:r>
    </w:p>
    <w:p w14:paraId="647F6787" w14:textId="77777777" w:rsidR="00042FA7" w:rsidRPr="005C41CE" w:rsidRDefault="00042FA7" w:rsidP="003B02DF">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Hepatitis B Virus Reactivation can occur.</w:t>
      </w:r>
      <w:r w:rsidRPr="00003D2E">
        <w:rPr>
          <w:rFonts w:cstheme="minorHAnsi"/>
          <w:color w:val="2F5496" w:themeColor="accent1" w:themeShade="BF"/>
          <w:sz w:val="20"/>
          <w:szCs w:val="20"/>
        </w:rPr>
        <w:t xml:space="preserve"> </w:t>
      </w:r>
      <w:r w:rsidRPr="005C41CE">
        <w:rPr>
          <w:rFonts w:cstheme="minorHAnsi"/>
          <w:sz w:val="20"/>
          <w:szCs w:val="20"/>
        </w:rPr>
        <w:t>Prior to starting EOHILIA for patients who show evidence of hepatitis B infection, recommend consultation with physicians with expertise in managing hepatitis B regarding monitoring and consideration for hepatitis B antiviral therapy.</w:t>
      </w:r>
    </w:p>
    <w:p w14:paraId="06B3A2A7" w14:textId="77777777" w:rsidR="00042FA7" w:rsidRDefault="00042FA7" w:rsidP="003B02DF">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Amebiasis</w:t>
      </w:r>
      <w:r w:rsidRPr="005158F4">
        <w:rPr>
          <w:rFonts w:cstheme="minorHAnsi"/>
          <w:b/>
          <w:bCs/>
          <w:color w:val="2F5496" w:themeColor="accent1" w:themeShade="BF"/>
          <w:sz w:val="20"/>
          <w:szCs w:val="20"/>
        </w:rPr>
        <w:t xml:space="preserve">: </w:t>
      </w:r>
      <w:r>
        <w:rPr>
          <w:rFonts w:cstheme="minorHAnsi"/>
          <w:sz w:val="20"/>
          <w:szCs w:val="20"/>
        </w:rPr>
        <w:t xml:space="preserve">It is recommended that latent or active amebiasis be ruled out before starting EOHILIA in patients who have spent time in the tropics or have unexplained diarrhea. </w:t>
      </w:r>
    </w:p>
    <w:p w14:paraId="347396C4" w14:textId="77777777" w:rsidR="00042FA7" w:rsidRDefault="00042FA7" w:rsidP="003B02DF">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Avoid EOHILIA</w:t>
      </w:r>
      <w:r w:rsidRPr="00003D2E">
        <w:rPr>
          <w:rFonts w:cstheme="minorHAnsi"/>
          <w:color w:val="2F5496" w:themeColor="accent1" w:themeShade="BF"/>
          <w:sz w:val="20"/>
          <w:szCs w:val="20"/>
        </w:rPr>
        <w:t xml:space="preserve"> </w:t>
      </w:r>
      <w:r w:rsidRPr="00003D2E">
        <w:rPr>
          <w:rFonts w:cstheme="minorHAnsi"/>
          <w:b/>
          <w:bCs/>
          <w:color w:val="2F5496" w:themeColor="accent1" w:themeShade="BF"/>
          <w:sz w:val="20"/>
          <w:szCs w:val="20"/>
        </w:rPr>
        <w:t xml:space="preserve">in patients </w:t>
      </w:r>
      <w:proofErr w:type="gramStart"/>
      <w:r w:rsidRPr="00003D2E">
        <w:rPr>
          <w:rFonts w:cstheme="minorHAnsi"/>
          <w:b/>
          <w:bCs/>
          <w:color w:val="2F5496" w:themeColor="accent1" w:themeShade="BF"/>
          <w:sz w:val="20"/>
          <w:szCs w:val="20"/>
        </w:rPr>
        <w:t>with</w:t>
      </w:r>
      <w:r w:rsidRPr="005158F4">
        <w:rPr>
          <w:rFonts w:cstheme="minorHAnsi"/>
          <w:b/>
          <w:bCs/>
          <w:color w:val="2F5496" w:themeColor="accent1" w:themeShade="BF"/>
          <w:sz w:val="20"/>
          <w:szCs w:val="20"/>
        </w:rPr>
        <w:t>:</w:t>
      </w:r>
      <w:proofErr w:type="gramEnd"/>
      <w:r w:rsidRPr="005158F4">
        <w:rPr>
          <w:rFonts w:cstheme="minorHAnsi"/>
          <w:b/>
          <w:bCs/>
          <w:color w:val="2F5496" w:themeColor="accent1" w:themeShade="BF"/>
          <w:sz w:val="20"/>
          <w:szCs w:val="20"/>
        </w:rPr>
        <w:t xml:space="preserve"> </w:t>
      </w:r>
      <w:r w:rsidRPr="00012F79">
        <w:rPr>
          <w:rFonts w:cstheme="minorHAnsi"/>
          <w:sz w:val="20"/>
          <w:szCs w:val="20"/>
        </w:rPr>
        <w:t xml:space="preserve">systemic fungal infections, known or suspected </w:t>
      </w:r>
      <w:proofErr w:type="spellStart"/>
      <w:r w:rsidRPr="00012F79">
        <w:rPr>
          <w:rFonts w:cstheme="minorHAnsi"/>
          <w:sz w:val="20"/>
          <w:szCs w:val="20"/>
        </w:rPr>
        <w:t>Strongyloides</w:t>
      </w:r>
      <w:proofErr w:type="spellEnd"/>
      <w:r w:rsidRPr="00012F79">
        <w:rPr>
          <w:rFonts w:cstheme="minorHAnsi"/>
          <w:sz w:val="20"/>
          <w:szCs w:val="20"/>
        </w:rPr>
        <w:t xml:space="preserve"> (threadworm) infection, cerebral malaria, and active ocular herpes simplex. </w:t>
      </w:r>
    </w:p>
    <w:p w14:paraId="2D2EA919" w14:textId="30361505" w:rsidR="00042FA7" w:rsidRPr="00EB1678" w:rsidRDefault="00042FA7" w:rsidP="003B02DF">
      <w:pPr>
        <w:pStyle w:val="ListParagraph"/>
        <w:numPr>
          <w:ilvl w:val="0"/>
          <w:numId w:val="4"/>
        </w:numPr>
        <w:tabs>
          <w:tab w:val="left" w:pos="900"/>
        </w:tabs>
        <w:spacing w:line="240" w:lineRule="auto"/>
        <w:rPr>
          <w:rFonts w:cstheme="minorHAnsi"/>
          <w:sz w:val="20"/>
          <w:szCs w:val="20"/>
        </w:rPr>
      </w:pPr>
      <w:r w:rsidRPr="00003D2E">
        <w:rPr>
          <w:rFonts w:cstheme="minorHAnsi"/>
          <w:b/>
          <w:bCs/>
          <w:color w:val="2F5496" w:themeColor="accent1" w:themeShade="BF"/>
          <w:sz w:val="20"/>
          <w:szCs w:val="20"/>
        </w:rPr>
        <w:t>Localized Infections</w:t>
      </w:r>
      <w:r w:rsidRPr="005158F4">
        <w:rPr>
          <w:rFonts w:cstheme="minorHAnsi"/>
          <w:b/>
          <w:bCs/>
          <w:color w:val="2F5496" w:themeColor="accent1" w:themeShade="BF"/>
          <w:sz w:val="20"/>
          <w:szCs w:val="20"/>
        </w:rPr>
        <w:t>:</w:t>
      </w:r>
      <w:r>
        <w:rPr>
          <w:rFonts w:cstheme="minorHAnsi"/>
          <w:sz w:val="20"/>
          <w:szCs w:val="20"/>
        </w:rPr>
        <w:t xml:space="preserve"> In clinical trials, some patients developed </w:t>
      </w:r>
      <w:r w:rsidRPr="005158F4">
        <w:rPr>
          <w:rFonts w:cstheme="minorHAnsi"/>
          <w:i/>
          <w:iCs/>
          <w:sz w:val="20"/>
          <w:szCs w:val="20"/>
        </w:rPr>
        <w:t>Candida albicans</w:t>
      </w:r>
      <w:r>
        <w:rPr>
          <w:rFonts w:cstheme="minorHAnsi"/>
          <w:sz w:val="20"/>
          <w:szCs w:val="20"/>
        </w:rPr>
        <w:t xml:space="preserve"> infections in the mouth, throat, and esophagus. Instruct patients: do not eat or drink for 30 minutes after taking EOHILIA; after 30 minutes rinse mouth with water and spit without swallowing. </w:t>
      </w:r>
      <w:r w:rsidRPr="002E5B4F">
        <w:rPr>
          <w:rFonts w:cstheme="minorHAnsi"/>
          <w:sz w:val="20"/>
          <w:szCs w:val="20"/>
        </w:rPr>
        <w:t xml:space="preserve">If oropharyngeal or esophageal candidiasis develops, treat with appropriate antifungal </w:t>
      </w:r>
      <w:proofErr w:type="gramStart"/>
      <w:r w:rsidRPr="002E5B4F">
        <w:rPr>
          <w:rFonts w:cstheme="minorHAnsi"/>
          <w:sz w:val="20"/>
          <w:szCs w:val="20"/>
        </w:rPr>
        <w:t>therapy</w:t>
      </w:r>
      <w:proofErr w:type="gramEnd"/>
      <w:r w:rsidRPr="002E5B4F">
        <w:rPr>
          <w:rFonts w:cstheme="minorHAnsi"/>
          <w:sz w:val="20"/>
          <w:szCs w:val="20"/>
        </w:rPr>
        <w:t xml:space="preserve"> and consider discontinuing EOHILIA.</w:t>
      </w:r>
    </w:p>
    <w:p w14:paraId="7B5E5540" w14:textId="6EF11332" w:rsidR="009D3DE8" w:rsidRPr="003B02DF" w:rsidRDefault="00EB1678" w:rsidP="00767331">
      <w:pPr>
        <w:tabs>
          <w:tab w:val="left" w:pos="900"/>
        </w:tabs>
        <w:spacing w:line="240" w:lineRule="auto"/>
        <w:rPr>
          <w:rFonts w:cstheme="minorHAnsi"/>
          <w:b/>
          <w:bCs/>
          <w:color w:val="2F5496" w:themeColor="accent1" w:themeShade="BF"/>
          <w:sz w:val="20"/>
          <w:szCs w:val="20"/>
        </w:rPr>
      </w:pPr>
      <w:r>
        <w:rPr>
          <w:rFonts w:cstheme="minorHAnsi"/>
          <w:b/>
          <w:bCs/>
          <w:color w:val="2F5496" w:themeColor="accent1" w:themeShade="BF"/>
          <w:sz w:val="20"/>
          <w:szCs w:val="20"/>
        </w:rPr>
        <w:t xml:space="preserve">Erosive Esophagitis </w:t>
      </w:r>
      <w:r w:rsidR="003B02DF">
        <w:rPr>
          <w:rFonts w:cstheme="minorHAnsi"/>
          <w:b/>
          <w:bCs/>
          <w:color w:val="2F5496" w:themeColor="accent1" w:themeShade="BF"/>
          <w:sz w:val="20"/>
          <w:szCs w:val="20"/>
        </w:rPr>
        <w:br/>
      </w:r>
      <w:r w:rsidRPr="00104639">
        <w:rPr>
          <w:rFonts w:cstheme="minorHAnsi"/>
          <w:sz w:val="20"/>
          <w:szCs w:val="20"/>
        </w:rPr>
        <w:t>Erosive esophagitis occurred in subjects who received EOHILIA in a 12-week clinical trial. None of the subjects had erosions at baseline esophagogastroduodenoscopy (EGD), and most were receiving concomitant therapy with a proton pump inhibitor (PPI)</w:t>
      </w:r>
      <w:r>
        <w:rPr>
          <w:rFonts w:cstheme="minorHAnsi"/>
          <w:sz w:val="20"/>
          <w:szCs w:val="20"/>
        </w:rPr>
        <w:t xml:space="preserve">. </w:t>
      </w:r>
      <w:r w:rsidRPr="00104639">
        <w:rPr>
          <w:rFonts w:cstheme="minorHAnsi"/>
          <w:sz w:val="20"/>
          <w:szCs w:val="20"/>
        </w:rPr>
        <w:t>Advise patients or caregivers to report new onset or worsening signs or symptoms of erosive esophagitis to their healthcare provider. Consider endoscopic evaluation as appropriate</w:t>
      </w:r>
      <w:r>
        <w:rPr>
          <w:rFonts w:cstheme="minorHAnsi"/>
          <w:sz w:val="20"/>
          <w:szCs w:val="20"/>
        </w:rPr>
        <w:t>.</w:t>
      </w:r>
    </w:p>
    <w:p w14:paraId="0F6E0CDB" w14:textId="0BEFF51E" w:rsidR="003B02DF" w:rsidRPr="003B02DF" w:rsidRDefault="009D3DE8" w:rsidP="00767331">
      <w:pPr>
        <w:tabs>
          <w:tab w:val="left" w:pos="900"/>
        </w:tabs>
        <w:spacing w:line="240" w:lineRule="auto"/>
        <w:rPr>
          <w:rFonts w:cstheme="minorHAnsi"/>
          <w:sz w:val="20"/>
          <w:szCs w:val="20"/>
        </w:rPr>
      </w:pPr>
      <w:r>
        <w:rPr>
          <w:rFonts w:cstheme="minorHAnsi"/>
          <w:b/>
          <w:bCs/>
          <w:color w:val="2F5496" w:themeColor="accent1" w:themeShade="BF"/>
          <w:sz w:val="20"/>
          <w:szCs w:val="20"/>
        </w:rPr>
        <w:t>Effect on Growth</w:t>
      </w:r>
      <w:r w:rsidR="003B02DF">
        <w:rPr>
          <w:rFonts w:cstheme="minorHAnsi"/>
          <w:b/>
          <w:bCs/>
          <w:color w:val="2F5496" w:themeColor="accent1" w:themeShade="BF"/>
          <w:sz w:val="20"/>
          <w:szCs w:val="20"/>
        </w:rPr>
        <w:br/>
      </w:r>
      <w:r w:rsidRPr="00480B90">
        <w:rPr>
          <w:rFonts w:cstheme="minorHAnsi"/>
          <w:sz w:val="20"/>
          <w:szCs w:val="20"/>
        </w:rPr>
        <w:t>Use of corticosteroids may cause a reduction of growth velocity in pediatric patients. Monitor the growth of pediatric patients on EOHILIA. The maximum recommended duration of treatment with EOHILIA is 12 weeks</w:t>
      </w:r>
      <w:r>
        <w:rPr>
          <w:rFonts w:cstheme="minorHAnsi"/>
          <w:sz w:val="20"/>
          <w:szCs w:val="20"/>
        </w:rPr>
        <w:t>.</w:t>
      </w:r>
    </w:p>
    <w:p w14:paraId="20163DAD" w14:textId="29308DBD" w:rsidR="003B02DF" w:rsidRDefault="00234CA3" w:rsidP="00767331">
      <w:pPr>
        <w:spacing w:line="240" w:lineRule="auto"/>
        <w:rPr>
          <w:rFonts w:cstheme="minorHAnsi"/>
          <w:b/>
          <w:bCs/>
          <w:iCs/>
          <w:sz w:val="20"/>
          <w:szCs w:val="20"/>
        </w:rPr>
      </w:pPr>
      <w:r w:rsidRPr="003978BF">
        <w:rPr>
          <w:rFonts w:cstheme="minorHAnsi"/>
          <w:b/>
          <w:bCs/>
          <w:iCs/>
          <w:sz w:val="20"/>
          <w:szCs w:val="20"/>
        </w:rPr>
        <w:t xml:space="preserve">Please see additional Important Safety Information on page 4, and click here for full </w:t>
      </w:r>
      <w:hyperlink r:id="rId8" w:history="1">
        <w:r w:rsidRPr="000A13F7">
          <w:rPr>
            <w:rStyle w:val="Hyperlink"/>
            <w:rFonts w:cstheme="minorHAnsi"/>
            <w:b/>
            <w:bCs/>
            <w:iCs/>
            <w:sz w:val="20"/>
            <w:szCs w:val="20"/>
          </w:rPr>
          <w:t>Prescribing Information</w:t>
        </w:r>
      </w:hyperlink>
      <w:r w:rsidRPr="003978BF">
        <w:rPr>
          <w:rFonts w:cstheme="minorHAnsi"/>
          <w:b/>
          <w:bCs/>
          <w:iCs/>
          <w:sz w:val="20"/>
          <w:szCs w:val="20"/>
        </w:rPr>
        <w:t>.</w:t>
      </w:r>
    </w:p>
    <w:p w14:paraId="11EA8320" w14:textId="77777777" w:rsidR="003B02DF" w:rsidRDefault="003B02DF" w:rsidP="00767331">
      <w:pPr>
        <w:spacing w:line="240" w:lineRule="auto"/>
        <w:rPr>
          <w:rFonts w:cstheme="minorHAnsi"/>
          <w:b/>
          <w:bCs/>
          <w:iCs/>
          <w:sz w:val="20"/>
          <w:szCs w:val="20"/>
        </w:rPr>
      </w:pPr>
    </w:p>
    <w:p w14:paraId="7AE6EC10" w14:textId="77777777" w:rsidR="003B02DF" w:rsidRDefault="003B02DF" w:rsidP="00767331">
      <w:pPr>
        <w:spacing w:line="240" w:lineRule="auto"/>
        <w:rPr>
          <w:rFonts w:cstheme="minorHAnsi"/>
          <w:b/>
          <w:bCs/>
          <w:iCs/>
          <w:sz w:val="20"/>
          <w:szCs w:val="20"/>
        </w:rPr>
      </w:pPr>
    </w:p>
    <w:p w14:paraId="5725386A" w14:textId="77777777" w:rsidR="003B02DF" w:rsidRDefault="003B02DF" w:rsidP="00767331">
      <w:pPr>
        <w:spacing w:line="240" w:lineRule="auto"/>
        <w:rPr>
          <w:rFonts w:cstheme="minorHAnsi"/>
          <w:b/>
          <w:bCs/>
          <w:iCs/>
          <w:sz w:val="20"/>
          <w:szCs w:val="20"/>
        </w:rPr>
      </w:pPr>
    </w:p>
    <w:p w14:paraId="6A872386" w14:textId="77777777" w:rsidR="003B02DF" w:rsidRPr="003978BF" w:rsidRDefault="003B02DF" w:rsidP="00767331">
      <w:pPr>
        <w:spacing w:line="240" w:lineRule="auto"/>
        <w:rPr>
          <w:rFonts w:cstheme="minorHAnsi"/>
          <w:b/>
          <w:bCs/>
          <w:iCs/>
          <w:sz w:val="20"/>
          <w:szCs w:val="20"/>
        </w:rPr>
      </w:pPr>
    </w:p>
    <w:p w14:paraId="61DE8C0F" w14:textId="5D6AB387" w:rsidR="009D3DE8" w:rsidRPr="003B02DF" w:rsidRDefault="003F2C1E" w:rsidP="003B02DF">
      <w:pPr>
        <w:spacing w:line="240" w:lineRule="auto"/>
        <w:rPr>
          <w:rFonts w:cstheme="minorHAnsi"/>
          <w:b/>
          <w:color w:val="2F5496" w:themeColor="accent1" w:themeShade="BF"/>
          <w:sz w:val="20"/>
          <w:szCs w:val="20"/>
        </w:rPr>
      </w:pPr>
      <w:r w:rsidRPr="007F1198">
        <w:rPr>
          <w:rFonts w:cstheme="minorHAnsi"/>
          <w:b/>
          <w:color w:val="2F5496" w:themeColor="accent1" w:themeShade="BF"/>
          <w:sz w:val="20"/>
          <w:szCs w:val="20"/>
          <w:u w:val="single"/>
        </w:rPr>
        <w:lastRenderedPageBreak/>
        <w:t>IMPORTANT SAFETY INFORMATION</w:t>
      </w:r>
      <w:r w:rsidRPr="00D5744B">
        <w:rPr>
          <w:rFonts w:cstheme="minorHAnsi"/>
          <w:b/>
          <w:color w:val="2F5496" w:themeColor="accent1" w:themeShade="BF"/>
          <w:sz w:val="20"/>
          <w:szCs w:val="20"/>
        </w:rPr>
        <w:t xml:space="preserve"> (cont’d)</w:t>
      </w:r>
    </w:p>
    <w:p w14:paraId="73DF7DB5" w14:textId="5E38ACE0" w:rsidR="00D5421C" w:rsidRPr="00767331" w:rsidRDefault="009D3DE8" w:rsidP="00767331">
      <w:pPr>
        <w:tabs>
          <w:tab w:val="left" w:pos="900"/>
        </w:tabs>
        <w:spacing w:line="240" w:lineRule="auto"/>
        <w:rPr>
          <w:rFonts w:cstheme="minorHAnsi"/>
          <w:b/>
          <w:bCs/>
          <w:color w:val="2F5496" w:themeColor="accent1" w:themeShade="BF"/>
          <w:sz w:val="20"/>
          <w:szCs w:val="20"/>
        </w:rPr>
      </w:pPr>
      <w:r w:rsidRPr="002B5D3A">
        <w:rPr>
          <w:rFonts w:cstheme="minorHAnsi"/>
          <w:b/>
          <w:bCs/>
          <w:color w:val="2F5496" w:themeColor="accent1" w:themeShade="BF"/>
          <w:sz w:val="20"/>
          <w:szCs w:val="20"/>
        </w:rPr>
        <w:t>Symptoms of Steroid Withdrawal in Patients Transferred from Other Systemic Corticosteroids</w:t>
      </w:r>
      <w:r w:rsidR="00767331">
        <w:rPr>
          <w:rFonts w:cstheme="minorHAnsi"/>
          <w:b/>
          <w:bCs/>
          <w:color w:val="2F5496" w:themeColor="accent1" w:themeShade="BF"/>
          <w:sz w:val="20"/>
          <w:szCs w:val="20"/>
        </w:rPr>
        <w:br/>
      </w:r>
      <w:r w:rsidRPr="00480B90">
        <w:rPr>
          <w:rFonts w:cstheme="minorHAnsi"/>
          <w:sz w:val="20"/>
          <w:szCs w:val="20"/>
        </w:rPr>
        <w:t>Monitor patients who are transferred from corticosteroids with high systemic effects to corticosteroids with lower systemic availability, such as EOHILIA, since symptoms attributed to withdrawal of steroid therapy, including those of acute adrenal axis suppression or benign intracranial hypertension, may develop. Adrenocortical function monitoring may be required in these patients and the dose of corticosteroid treatment with high systemic effects should be reduced cautiously. Replacement of systemic corticosteroids with EOHILIA may unmask allergies (e.g., rhinitis and eczema) previously controlled by the systemic drug.</w:t>
      </w:r>
    </w:p>
    <w:p w14:paraId="795D9F62" w14:textId="6C75CE64" w:rsidR="00D5421C" w:rsidRPr="00767331" w:rsidRDefault="00D5421C" w:rsidP="00767331">
      <w:pPr>
        <w:tabs>
          <w:tab w:val="left" w:pos="900"/>
        </w:tabs>
        <w:spacing w:line="240" w:lineRule="auto"/>
        <w:rPr>
          <w:rFonts w:cstheme="minorHAnsi"/>
          <w:b/>
          <w:bCs/>
          <w:iCs/>
          <w:color w:val="2F5496" w:themeColor="accent1" w:themeShade="BF"/>
          <w:sz w:val="20"/>
          <w:szCs w:val="20"/>
        </w:rPr>
      </w:pPr>
      <w:r w:rsidRPr="00AC19AA">
        <w:rPr>
          <w:rFonts w:cstheme="minorHAnsi"/>
          <w:b/>
          <w:bCs/>
          <w:iCs/>
          <w:color w:val="2F5496" w:themeColor="accent1" w:themeShade="BF"/>
          <w:sz w:val="20"/>
          <w:szCs w:val="20"/>
        </w:rPr>
        <w:t>Other Corticosteroid Effects</w:t>
      </w:r>
      <w:r w:rsidR="00767331">
        <w:rPr>
          <w:rFonts w:cstheme="minorHAnsi"/>
          <w:b/>
          <w:bCs/>
          <w:iCs/>
          <w:color w:val="2F5496" w:themeColor="accent1" w:themeShade="BF"/>
          <w:sz w:val="20"/>
          <w:szCs w:val="20"/>
        </w:rPr>
        <w:br/>
      </w:r>
      <w:r w:rsidRPr="00AC19AA">
        <w:rPr>
          <w:rFonts w:cstheme="minorHAnsi"/>
          <w:iCs/>
          <w:sz w:val="20"/>
          <w:szCs w:val="20"/>
        </w:rPr>
        <w:t>Monitor patients with hypertension, diabetes mellitus, osteoporosis, peptic ulcer, glaucoma, or cataracts, or with family history of diabetes, glaucoma, or with other condition</w:t>
      </w:r>
      <w:r>
        <w:rPr>
          <w:rFonts w:cstheme="minorHAnsi"/>
          <w:iCs/>
          <w:sz w:val="20"/>
          <w:szCs w:val="20"/>
        </w:rPr>
        <w:t>s</w:t>
      </w:r>
      <w:r w:rsidRPr="00AC19AA">
        <w:rPr>
          <w:rFonts w:cstheme="minorHAnsi"/>
          <w:iCs/>
          <w:sz w:val="20"/>
          <w:szCs w:val="20"/>
        </w:rPr>
        <w:t xml:space="preserve"> where corticosteroids may have unwanted effects.</w:t>
      </w:r>
    </w:p>
    <w:p w14:paraId="4882163B" w14:textId="7E7BC0D8" w:rsidR="00D5421C" w:rsidRPr="00767331" w:rsidRDefault="00D5421C" w:rsidP="00767331">
      <w:pPr>
        <w:tabs>
          <w:tab w:val="left" w:pos="900"/>
        </w:tabs>
        <w:spacing w:line="240" w:lineRule="auto"/>
        <w:rPr>
          <w:rFonts w:cstheme="minorHAnsi"/>
          <w:b/>
          <w:bCs/>
          <w:iCs/>
          <w:color w:val="2F5496" w:themeColor="accent1" w:themeShade="BF"/>
          <w:sz w:val="20"/>
          <w:szCs w:val="20"/>
        </w:rPr>
      </w:pPr>
      <w:r w:rsidRPr="00E621ED">
        <w:rPr>
          <w:rFonts w:cstheme="minorHAnsi"/>
          <w:b/>
          <w:bCs/>
          <w:iCs/>
          <w:color w:val="2F5496" w:themeColor="accent1" w:themeShade="BF"/>
          <w:sz w:val="20"/>
          <w:szCs w:val="20"/>
        </w:rPr>
        <w:t>Kaposi’s Sarcoma</w:t>
      </w:r>
      <w:r w:rsidR="00767331">
        <w:rPr>
          <w:rFonts w:cstheme="minorHAnsi"/>
          <w:b/>
          <w:bCs/>
          <w:iCs/>
          <w:color w:val="2F5496" w:themeColor="accent1" w:themeShade="BF"/>
          <w:sz w:val="20"/>
          <w:szCs w:val="20"/>
        </w:rPr>
        <w:br/>
      </w:r>
      <w:r w:rsidRPr="00F72C94">
        <w:rPr>
          <w:rFonts w:cstheme="minorHAnsi"/>
          <w:iCs/>
          <w:sz w:val="20"/>
          <w:szCs w:val="20"/>
        </w:rPr>
        <w:t>Kaposi’s sarcoma has been reported to occur in patients receiving corticosteroid therapy, most often for chronic conditions. Discontinuation of corticosteroids may result in clinical improvement of Kaposi’s sarcoma. The maximum recommended duration of treatment with EOHILIA is 12 weeks</w:t>
      </w:r>
      <w:r>
        <w:rPr>
          <w:rFonts w:cstheme="minorHAnsi"/>
          <w:iCs/>
          <w:sz w:val="20"/>
          <w:szCs w:val="20"/>
        </w:rPr>
        <w:t>.</w:t>
      </w:r>
    </w:p>
    <w:p w14:paraId="32722F99" w14:textId="55E0D2E6" w:rsidR="008E65C5" w:rsidRDefault="00D5421C" w:rsidP="00D53C32">
      <w:pPr>
        <w:keepNext/>
        <w:keepLines/>
        <w:tabs>
          <w:tab w:val="left" w:pos="900"/>
        </w:tabs>
        <w:spacing w:after="120" w:line="240" w:lineRule="auto"/>
        <w:rPr>
          <w:rFonts w:cstheme="minorHAnsi"/>
          <w:sz w:val="20"/>
          <w:szCs w:val="20"/>
        </w:rPr>
      </w:pPr>
      <w:r w:rsidRPr="007F1198">
        <w:rPr>
          <w:rFonts w:cstheme="minorHAnsi"/>
          <w:b/>
          <w:color w:val="2F5496" w:themeColor="accent1" w:themeShade="BF"/>
          <w:sz w:val="20"/>
          <w:szCs w:val="20"/>
        </w:rPr>
        <w:t>ADVERSE REACTIONS</w:t>
      </w:r>
    </w:p>
    <w:p w14:paraId="5187D486" w14:textId="178A0011" w:rsidR="00D53C32" w:rsidRPr="003948F2" w:rsidRDefault="00D5421C" w:rsidP="003948F2">
      <w:pPr>
        <w:keepNext/>
        <w:keepLines/>
        <w:tabs>
          <w:tab w:val="left" w:pos="900"/>
        </w:tabs>
        <w:spacing w:line="240" w:lineRule="auto"/>
        <w:rPr>
          <w:rFonts w:cstheme="minorHAnsi"/>
          <w:bCs/>
          <w:sz w:val="20"/>
          <w:szCs w:val="20"/>
        </w:rPr>
      </w:pPr>
      <w:r w:rsidRPr="007D5E2F">
        <w:rPr>
          <w:rFonts w:cstheme="minorHAnsi"/>
          <w:sz w:val="20"/>
          <w:szCs w:val="20"/>
        </w:rPr>
        <w:t>Most common adverse reactions (</w:t>
      </w:r>
      <w:r>
        <w:rPr>
          <w:rFonts w:cstheme="minorHAnsi"/>
          <w:sz w:val="20"/>
          <w:szCs w:val="20"/>
        </w:rPr>
        <w:t>≥</w:t>
      </w:r>
      <w:r w:rsidRPr="007D5E2F">
        <w:rPr>
          <w:rFonts w:cstheme="minorHAnsi"/>
          <w:sz w:val="20"/>
          <w:szCs w:val="20"/>
        </w:rPr>
        <w:t xml:space="preserve">2%) </w:t>
      </w:r>
      <w:proofErr w:type="gramStart"/>
      <w:r w:rsidRPr="007D5E2F">
        <w:rPr>
          <w:rFonts w:cstheme="minorHAnsi"/>
          <w:sz w:val="20"/>
          <w:szCs w:val="20"/>
        </w:rPr>
        <w:t>are:</w:t>
      </w:r>
      <w:proofErr w:type="gramEnd"/>
      <w:r w:rsidRPr="007D5E2F">
        <w:rPr>
          <w:rFonts w:cstheme="minorHAnsi"/>
          <w:sz w:val="20"/>
          <w:szCs w:val="20"/>
        </w:rPr>
        <w:t xml:space="preserve"> </w:t>
      </w:r>
      <w:r w:rsidRPr="00C93170">
        <w:rPr>
          <w:rFonts w:cstheme="minorHAnsi"/>
          <w:bCs/>
          <w:sz w:val="20"/>
          <w:szCs w:val="20"/>
        </w:rPr>
        <w:t>respiratory tract infection, gastrointestinal mucosal candidiasis, headache, gastroenteritis, throat irritation, adrenal suppression, and erosive esophagitis</w:t>
      </w:r>
      <w:r>
        <w:rPr>
          <w:rFonts w:cstheme="minorHAnsi"/>
          <w:bCs/>
          <w:sz w:val="20"/>
          <w:szCs w:val="20"/>
        </w:rPr>
        <w:t>.</w:t>
      </w:r>
    </w:p>
    <w:p w14:paraId="52ED6EF5" w14:textId="24314619" w:rsidR="00D53C32" w:rsidRDefault="00D5421C" w:rsidP="003948F2">
      <w:pPr>
        <w:keepNext/>
        <w:keepLines/>
        <w:tabs>
          <w:tab w:val="left" w:pos="900"/>
        </w:tabs>
        <w:spacing w:line="240" w:lineRule="auto"/>
        <w:rPr>
          <w:rFonts w:cstheme="minorHAnsi"/>
          <w:sz w:val="20"/>
          <w:szCs w:val="20"/>
        </w:rPr>
      </w:pPr>
      <w:r w:rsidRPr="007F1198">
        <w:rPr>
          <w:rFonts w:cstheme="minorHAnsi"/>
          <w:b/>
          <w:bCs/>
          <w:color w:val="2F5496" w:themeColor="accent1" w:themeShade="BF"/>
          <w:sz w:val="20"/>
          <w:szCs w:val="20"/>
        </w:rPr>
        <w:t>DRUG INTERACTIONS</w:t>
      </w:r>
    </w:p>
    <w:p w14:paraId="4906304D" w14:textId="7FC0E08C" w:rsidR="00F80EBF" w:rsidRDefault="00D5421C" w:rsidP="00651561">
      <w:pPr>
        <w:keepNext/>
        <w:keepLines/>
        <w:tabs>
          <w:tab w:val="left" w:pos="900"/>
        </w:tabs>
        <w:spacing w:after="0" w:line="240" w:lineRule="auto"/>
        <w:rPr>
          <w:rFonts w:cstheme="minorHAnsi"/>
          <w:sz w:val="20"/>
          <w:szCs w:val="20"/>
        </w:rPr>
      </w:pPr>
      <w:r w:rsidRPr="007D5E2F">
        <w:rPr>
          <w:rFonts w:cstheme="minorHAnsi"/>
          <w:sz w:val="20"/>
          <w:szCs w:val="20"/>
        </w:rPr>
        <w:t xml:space="preserve">Budesonide is a substrate for CYP3A4. Avoid concomitant use with CYP3A4 </w:t>
      </w:r>
      <w:r>
        <w:rPr>
          <w:rFonts w:cstheme="minorHAnsi"/>
          <w:sz w:val="20"/>
          <w:szCs w:val="20"/>
        </w:rPr>
        <w:t>i</w:t>
      </w:r>
      <w:r w:rsidRPr="007D5E2F">
        <w:rPr>
          <w:rFonts w:cstheme="minorHAnsi"/>
          <w:sz w:val="20"/>
          <w:szCs w:val="20"/>
        </w:rPr>
        <w:t>nhibitors (e.g., ketoconazole, itraconazole, ritonavir, indinavir, saquinavir, erythromycin, cyclosporin</w:t>
      </w:r>
      <w:r>
        <w:rPr>
          <w:rFonts w:cstheme="minorHAnsi"/>
          <w:sz w:val="20"/>
          <w:szCs w:val="20"/>
        </w:rPr>
        <w:t>e</w:t>
      </w:r>
      <w:r w:rsidRPr="007D5E2F">
        <w:rPr>
          <w:rFonts w:cstheme="minorHAnsi"/>
          <w:sz w:val="20"/>
          <w:szCs w:val="20"/>
        </w:rPr>
        <w:t xml:space="preserve">, and grapefruit juice), which can increase systemic </w:t>
      </w:r>
      <w:r>
        <w:rPr>
          <w:rFonts w:cstheme="minorHAnsi"/>
          <w:sz w:val="20"/>
          <w:szCs w:val="20"/>
        </w:rPr>
        <w:t>budesonide</w:t>
      </w:r>
      <w:r w:rsidRPr="007D5E2F">
        <w:rPr>
          <w:rFonts w:cstheme="minorHAnsi"/>
          <w:sz w:val="20"/>
          <w:szCs w:val="20"/>
        </w:rPr>
        <w:t xml:space="preserve"> concentrations.</w:t>
      </w:r>
    </w:p>
    <w:p w14:paraId="0A5630C9" w14:textId="77777777" w:rsidR="00651561" w:rsidRPr="00F80EBF" w:rsidRDefault="00651561" w:rsidP="00651561">
      <w:pPr>
        <w:keepNext/>
        <w:keepLines/>
        <w:tabs>
          <w:tab w:val="left" w:pos="900"/>
        </w:tabs>
        <w:spacing w:after="0" w:line="240" w:lineRule="auto"/>
        <w:rPr>
          <w:rFonts w:cstheme="minorHAnsi"/>
          <w:sz w:val="20"/>
          <w:szCs w:val="20"/>
        </w:rPr>
      </w:pPr>
    </w:p>
    <w:p w14:paraId="0DF2F1BD" w14:textId="1C5D2803" w:rsidR="00050179" w:rsidRPr="007F1198" w:rsidRDefault="00050179" w:rsidP="00332B9A">
      <w:pPr>
        <w:spacing w:after="60" w:line="240" w:lineRule="auto"/>
        <w:rPr>
          <w:rFonts w:cstheme="minorHAnsi"/>
          <w:b/>
          <w:color w:val="2F5496" w:themeColor="accent1" w:themeShade="BF"/>
          <w:sz w:val="20"/>
          <w:szCs w:val="20"/>
        </w:rPr>
      </w:pPr>
      <w:r w:rsidRPr="007F1198">
        <w:rPr>
          <w:rFonts w:cstheme="minorHAnsi"/>
          <w:b/>
          <w:color w:val="2F5496" w:themeColor="accent1" w:themeShade="BF"/>
          <w:sz w:val="20"/>
          <w:szCs w:val="20"/>
        </w:rPr>
        <w:t>USE IN SPECIFIC POPULATIONS</w:t>
      </w:r>
    </w:p>
    <w:p w14:paraId="3C30A74B" w14:textId="16D3CEF0" w:rsidR="00050179" w:rsidRDefault="00050179" w:rsidP="00332B9A">
      <w:pPr>
        <w:pStyle w:val="ListParagraph"/>
        <w:numPr>
          <w:ilvl w:val="0"/>
          <w:numId w:val="5"/>
        </w:numPr>
        <w:spacing w:after="60" w:line="240" w:lineRule="auto"/>
        <w:rPr>
          <w:rFonts w:cstheme="minorHAnsi"/>
          <w:bCs/>
          <w:sz w:val="20"/>
          <w:szCs w:val="20"/>
        </w:rPr>
      </w:pPr>
      <w:r w:rsidRPr="007F1198">
        <w:rPr>
          <w:rFonts w:cstheme="minorHAnsi"/>
          <w:b/>
          <w:color w:val="2F5496" w:themeColor="accent1" w:themeShade="BF"/>
          <w:sz w:val="20"/>
          <w:szCs w:val="20"/>
        </w:rPr>
        <w:t xml:space="preserve">Pregnancy: </w:t>
      </w:r>
      <w:r w:rsidRPr="007D5E2F">
        <w:rPr>
          <w:rFonts w:cstheme="minorHAnsi"/>
          <w:bCs/>
          <w:sz w:val="20"/>
          <w:szCs w:val="20"/>
        </w:rPr>
        <w:t>Hypoadrenalism may occur in infants born of mothers receiving corticosteroids during pregnancy. Infants should be carefully observed for signs of hypoadrenalism</w:t>
      </w:r>
      <w:r>
        <w:rPr>
          <w:rFonts w:cstheme="minorHAnsi"/>
          <w:bCs/>
          <w:sz w:val="20"/>
          <w:szCs w:val="20"/>
        </w:rPr>
        <w:t xml:space="preserve"> </w:t>
      </w:r>
      <w:r w:rsidRPr="007D5E2F">
        <w:rPr>
          <w:rFonts w:cstheme="minorHAnsi"/>
          <w:bCs/>
          <w:sz w:val="20"/>
          <w:szCs w:val="20"/>
        </w:rPr>
        <w:t>and managed accordingly</w:t>
      </w:r>
      <w:r>
        <w:rPr>
          <w:rFonts w:cstheme="minorHAnsi"/>
          <w:bCs/>
          <w:sz w:val="20"/>
          <w:szCs w:val="20"/>
        </w:rPr>
        <w:t>.</w:t>
      </w:r>
    </w:p>
    <w:p w14:paraId="318EB499" w14:textId="71CA92B9" w:rsidR="00050179" w:rsidRPr="007D5E2F" w:rsidRDefault="00050179" w:rsidP="003B02DF">
      <w:pPr>
        <w:pStyle w:val="ListParagraph"/>
        <w:numPr>
          <w:ilvl w:val="0"/>
          <w:numId w:val="5"/>
        </w:numPr>
        <w:spacing w:line="240" w:lineRule="auto"/>
        <w:rPr>
          <w:rFonts w:cstheme="minorHAnsi"/>
          <w:bCs/>
          <w:sz w:val="20"/>
          <w:szCs w:val="20"/>
        </w:rPr>
      </w:pPr>
      <w:r w:rsidRPr="007F1198">
        <w:rPr>
          <w:rFonts w:cstheme="minorHAnsi"/>
          <w:b/>
          <w:color w:val="2F5496" w:themeColor="accent1" w:themeShade="BF"/>
          <w:sz w:val="20"/>
          <w:szCs w:val="20"/>
        </w:rPr>
        <w:t xml:space="preserve">Lactation: </w:t>
      </w:r>
      <w:r w:rsidRPr="006349B5">
        <w:rPr>
          <w:rFonts w:cstheme="minorHAnsi"/>
          <w:bCs/>
          <w:sz w:val="20"/>
          <w:szCs w:val="20"/>
        </w:rPr>
        <w:t>Lactation studies have not been conducted with EOHILIA</w:t>
      </w:r>
      <w:r>
        <w:rPr>
          <w:rFonts w:cstheme="minorHAnsi"/>
          <w:bCs/>
          <w:sz w:val="20"/>
          <w:szCs w:val="20"/>
        </w:rPr>
        <w:t xml:space="preserve">. </w:t>
      </w:r>
      <w:r w:rsidRPr="00E80549">
        <w:rPr>
          <w:rFonts w:cstheme="minorHAnsi"/>
          <w:bCs/>
          <w:sz w:val="20"/>
          <w:szCs w:val="20"/>
        </w:rPr>
        <w:t>The developmental and health benefits of breastfeeding should be considered along with the mother’s clinical need for EOHILIA and any potential adverse effects on the breastfed infant from EOHILIA, or from the underlying maternal condition.</w:t>
      </w:r>
    </w:p>
    <w:p w14:paraId="4AB32EF1" w14:textId="6C77CCB7" w:rsidR="00050179" w:rsidRDefault="00050179" w:rsidP="003B02DF">
      <w:pPr>
        <w:pStyle w:val="ListParagraph"/>
        <w:numPr>
          <w:ilvl w:val="0"/>
          <w:numId w:val="5"/>
        </w:numPr>
        <w:shd w:val="clear" w:color="auto" w:fill="FFFFFF"/>
        <w:spacing w:line="240" w:lineRule="auto"/>
        <w:rPr>
          <w:rFonts w:eastAsia="Times New Roman" w:cstheme="minorHAnsi"/>
          <w:sz w:val="20"/>
          <w:szCs w:val="20"/>
        </w:rPr>
      </w:pPr>
      <w:r w:rsidRPr="00FF37C3">
        <w:rPr>
          <w:rFonts w:eastAsia="Times New Roman" w:cstheme="minorHAnsi"/>
          <w:b/>
          <w:bCs/>
          <w:color w:val="2F5496" w:themeColor="accent1" w:themeShade="BF"/>
          <w:sz w:val="20"/>
          <w:szCs w:val="20"/>
        </w:rPr>
        <w:t>Hepatic Impairment:</w:t>
      </w:r>
      <w:r w:rsidRPr="00FF37C3">
        <w:rPr>
          <w:rFonts w:eastAsia="Times New Roman" w:cstheme="minorHAnsi"/>
          <w:color w:val="2F5496" w:themeColor="accent1" w:themeShade="BF"/>
          <w:sz w:val="20"/>
          <w:szCs w:val="20"/>
        </w:rPr>
        <w:t xml:space="preserve"> </w:t>
      </w:r>
      <w:r>
        <w:rPr>
          <w:rFonts w:eastAsia="Times New Roman" w:cstheme="minorHAnsi"/>
          <w:sz w:val="20"/>
          <w:szCs w:val="20"/>
        </w:rPr>
        <w:t>Not recommended</w:t>
      </w:r>
      <w:r w:rsidRPr="00FF37C3">
        <w:rPr>
          <w:rFonts w:eastAsia="Times New Roman" w:cstheme="minorHAnsi"/>
          <w:sz w:val="20"/>
          <w:szCs w:val="20"/>
        </w:rPr>
        <w:t xml:space="preserve"> in patients with severe hepatic impairment (Child-Pugh Class C). In patients with moderate hepatic impairment (Child-Pugh Class B), monitor for signs and/or symptoms of </w:t>
      </w:r>
      <w:proofErr w:type="spellStart"/>
      <w:r w:rsidRPr="00FF37C3">
        <w:rPr>
          <w:rFonts w:eastAsia="Times New Roman" w:cstheme="minorHAnsi"/>
          <w:sz w:val="20"/>
          <w:szCs w:val="20"/>
        </w:rPr>
        <w:t>hypercorticism</w:t>
      </w:r>
      <w:proofErr w:type="spellEnd"/>
      <w:r>
        <w:rPr>
          <w:rFonts w:eastAsia="Times New Roman" w:cstheme="minorHAnsi"/>
          <w:sz w:val="20"/>
          <w:szCs w:val="20"/>
        </w:rPr>
        <w:t>.</w:t>
      </w:r>
    </w:p>
    <w:p w14:paraId="22507D24" w14:textId="3AB962F4" w:rsidR="00BE445B" w:rsidRPr="0098788D" w:rsidRDefault="0036028A" w:rsidP="00767331">
      <w:pPr>
        <w:spacing w:line="240" w:lineRule="auto"/>
        <w:rPr>
          <w:rFonts w:cstheme="minorHAnsi"/>
          <w:b/>
          <w:bCs/>
          <w:iCs/>
          <w:sz w:val="20"/>
          <w:szCs w:val="20"/>
        </w:rPr>
      </w:pPr>
      <w:r w:rsidRPr="003978BF">
        <w:rPr>
          <w:rFonts w:cstheme="minorHAnsi"/>
          <w:b/>
          <w:bCs/>
          <w:iCs/>
          <w:sz w:val="20"/>
          <w:szCs w:val="20"/>
        </w:rPr>
        <w:t xml:space="preserve">Please click here for full </w:t>
      </w:r>
      <w:hyperlink r:id="rId9" w:history="1">
        <w:r w:rsidRPr="000A13F7">
          <w:rPr>
            <w:rStyle w:val="Hyperlink"/>
            <w:rFonts w:cstheme="minorHAnsi"/>
            <w:b/>
            <w:bCs/>
            <w:iCs/>
            <w:sz w:val="20"/>
            <w:szCs w:val="20"/>
          </w:rPr>
          <w:t>Prescribing Information</w:t>
        </w:r>
      </w:hyperlink>
      <w:r w:rsidRPr="003978BF">
        <w:rPr>
          <w:rFonts w:cstheme="minorHAnsi"/>
          <w:b/>
          <w:bCs/>
          <w:iCs/>
          <w:sz w:val="20"/>
          <w:szCs w:val="20"/>
        </w:rPr>
        <w:t>.</w:t>
      </w:r>
    </w:p>
    <w:p w14:paraId="1510D7BB" w14:textId="078D07B7" w:rsidR="00283C6F" w:rsidRDefault="00283C6F" w:rsidP="00BB40A2">
      <w:pPr>
        <w:spacing w:after="60" w:line="240" w:lineRule="auto"/>
        <w:rPr>
          <w:sz w:val="20"/>
          <w:szCs w:val="20"/>
        </w:rPr>
      </w:pPr>
    </w:p>
    <w:p w14:paraId="4B6C9214" w14:textId="59905D77" w:rsidR="00D05435" w:rsidRDefault="00D05435" w:rsidP="00BB40A2">
      <w:pPr>
        <w:spacing w:after="60" w:line="240" w:lineRule="auto"/>
        <w:rPr>
          <w:sz w:val="20"/>
          <w:szCs w:val="20"/>
        </w:rPr>
      </w:pPr>
    </w:p>
    <w:p w14:paraId="169E852B" w14:textId="41A2367F" w:rsidR="00D05435" w:rsidRDefault="00D05435" w:rsidP="00BB40A2">
      <w:pPr>
        <w:spacing w:after="60" w:line="240" w:lineRule="auto"/>
        <w:rPr>
          <w:sz w:val="20"/>
          <w:szCs w:val="20"/>
        </w:rPr>
      </w:pPr>
    </w:p>
    <w:p w14:paraId="04B22299" w14:textId="77777777" w:rsidR="005B2562" w:rsidRDefault="005B2562" w:rsidP="00BB40A2">
      <w:pPr>
        <w:spacing w:after="60" w:line="240" w:lineRule="auto"/>
        <w:rPr>
          <w:sz w:val="20"/>
          <w:szCs w:val="20"/>
        </w:rPr>
      </w:pPr>
    </w:p>
    <w:p w14:paraId="530272EE" w14:textId="77777777" w:rsidR="005B2562" w:rsidRDefault="005B2562" w:rsidP="00BB40A2">
      <w:pPr>
        <w:spacing w:after="60" w:line="240" w:lineRule="auto"/>
        <w:rPr>
          <w:sz w:val="20"/>
          <w:szCs w:val="20"/>
        </w:rPr>
      </w:pPr>
    </w:p>
    <w:p w14:paraId="3893CF93" w14:textId="77777777" w:rsidR="005B2562" w:rsidRDefault="005B2562" w:rsidP="00BB40A2">
      <w:pPr>
        <w:spacing w:after="60" w:line="240" w:lineRule="auto"/>
        <w:rPr>
          <w:sz w:val="20"/>
          <w:szCs w:val="20"/>
        </w:rPr>
      </w:pPr>
    </w:p>
    <w:p w14:paraId="7C064CCA" w14:textId="77777777" w:rsidR="005B2562" w:rsidRDefault="005B2562" w:rsidP="00BB40A2">
      <w:pPr>
        <w:spacing w:after="60" w:line="240" w:lineRule="auto"/>
        <w:rPr>
          <w:sz w:val="20"/>
          <w:szCs w:val="20"/>
        </w:rPr>
      </w:pPr>
    </w:p>
    <w:p w14:paraId="0D4148C0" w14:textId="125E8509" w:rsidR="00283C6F" w:rsidRDefault="00B25993" w:rsidP="00BB40A2">
      <w:pPr>
        <w:spacing w:after="60" w:line="240" w:lineRule="auto"/>
        <w:rPr>
          <w:sz w:val="20"/>
          <w:szCs w:val="20"/>
        </w:rPr>
      </w:pPr>
      <w:r>
        <w:rPr>
          <w:noProof/>
          <w:sz w:val="16"/>
          <w:szCs w:val="16"/>
        </w:rPr>
        <w:drawing>
          <wp:anchor distT="0" distB="0" distL="114300" distR="114300" simplePos="0" relativeHeight="251658239" behindDoc="0" locked="0" layoutInCell="1" allowOverlap="1" wp14:anchorId="15397024" wp14:editId="3CA2114A">
            <wp:simplePos x="0" y="0"/>
            <wp:positionH relativeFrom="column">
              <wp:posOffset>4577715</wp:posOffset>
            </wp:positionH>
            <wp:positionV relativeFrom="paragraph">
              <wp:posOffset>165100</wp:posOffset>
            </wp:positionV>
            <wp:extent cx="1224915" cy="485140"/>
            <wp:effectExtent l="0" t="0" r="0" b="0"/>
            <wp:wrapSquare wrapText="bothSides"/>
            <wp:docPr id="930718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18204" name="Picture 1"/>
                    <pic:cNvPicPr/>
                  </pic:nvPicPr>
                  <pic:blipFill rotWithShape="1">
                    <a:blip r:embed="rId10" cstate="print">
                      <a:extLst>
                        <a:ext uri="{28A0092B-C50C-407E-A947-70E740481C1C}">
                          <a14:useLocalDpi xmlns:a14="http://schemas.microsoft.com/office/drawing/2010/main" val="0"/>
                        </a:ext>
                      </a:extLst>
                    </a:blip>
                    <a:srcRect l="14400" t="24156" r="15400" b="22300"/>
                    <a:stretch/>
                  </pic:blipFill>
                  <pic:spPr bwMode="auto">
                    <a:xfrm>
                      <a:off x="0" y="0"/>
                      <a:ext cx="1224915" cy="485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981E00" w14:textId="5338AE56" w:rsidR="00B25993" w:rsidRDefault="00B25993" w:rsidP="00B25993">
      <w:pPr>
        <w:spacing w:after="0" w:line="240" w:lineRule="auto"/>
        <w:rPr>
          <w:sz w:val="16"/>
          <w:szCs w:val="16"/>
        </w:rPr>
      </w:pPr>
      <w:r w:rsidRPr="00293968">
        <w:rPr>
          <w:rFonts w:cstheme="minorHAnsi"/>
          <w:sz w:val="16"/>
          <w:szCs w:val="16"/>
        </w:rPr>
        <w:t>©</w:t>
      </w:r>
      <w:r w:rsidRPr="00293968">
        <w:rPr>
          <w:sz w:val="16"/>
          <w:szCs w:val="16"/>
        </w:rPr>
        <w:t xml:space="preserve">2024 Takeda Pharmaceuticals U.S.A., Inc. All rights reserved. 500 Kendall St., Cambridge, MA 02142. </w:t>
      </w:r>
    </w:p>
    <w:p w14:paraId="6AC3CD06" w14:textId="77777777" w:rsidR="00B25993" w:rsidRDefault="00B25993" w:rsidP="00B25993">
      <w:pPr>
        <w:spacing w:after="0" w:line="240" w:lineRule="auto"/>
        <w:rPr>
          <w:sz w:val="16"/>
          <w:szCs w:val="16"/>
        </w:rPr>
      </w:pPr>
      <w:r w:rsidRPr="00293968">
        <w:rPr>
          <w:sz w:val="16"/>
          <w:szCs w:val="16"/>
        </w:rPr>
        <w:t xml:space="preserve">1-877-TAKEDA-7 (1-877-825-3327). TAKEDA and the TAKEDA logo are registered trademarks of </w:t>
      </w:r>
    </w:p>
    <w:p w14:paraId="749D5603" w14:textId="77777777" w:rsidR="00B25993" w:rsidRDefault="00B25993" w:rsidP="00B25993">
      <w:pPr>
        <w:spacing w:after="0" w:line="240" w:lineRule="auto"/>
        <w:rPr>
          <w:sz w:val="16"/>
          <w:szCs w:val="16"/>
        </w:rPr>
      </w:pPr>
      <w:r w:rsidRPr="00293968">
        <w:rPr>
          <w:sz w:val="16"/>
          <w:szCs w:val="16"/>
        </w:rPr>
        <w:t xml:space="preserve">Takeda Pharmaceutical Company Limited. EOHILIA is a trademark of </w:t>
      </w:r>
      <w:proofErr w:type="spellStart"/>
      <w:r w:rsidRPr="00293968">
        <w:rPr>
          <w:sz w:val="16"/>
          <w:szCs w:val="16"/>
        </w:rPr>
        <w:t>ViroPharma</w:t>
      </w:r>
      <w:proofErr w:type="spellEnd"/>
      <w:r w:rsidRPr="00293968">
        <w:rPr>
          <w:sz w:val="16"/>
          <w:szCs w:val="16"/>
        </w:rPr>
        <w:t xml:space="preserve"> Biologics LLC. </w:t>
      </w:r>
    </w:p>
    <w:p w14:paraId="52F9B470" w14:textId="5116CB4E" w:rsidR="00B25993" w:rsidRPr="00293968" w:rsidRDefault="00B25993" w:rsidP="00B25993">
      <w:pPr>
        <w:spacing w:after="0" w:line="240" w:lineRule="auto"/>
        <w:rPr>
          <w:sz w:val="16"/>
          <w:szCs w:val="16"/>
        </w:rPr>
      </w:pPr>
      <w:r w:rsidRPr="0025775A">
        <w:rPr>
          <w:sz w:val="16"/>
          <w:szCs w:val="16"/>
        </w:rPr>
        <w:t>US-BOS-0</w:t>
      </w:r>
      <w:r w:rsidR="001667A1">
        <w:rPr>
          <w:sz w:val="16"/>
          <w:szCs w:val="16"/>
        </w:rPr>
        <w:t>26</w:t>
      </w:r>
      <w:r w:rsidR="00CF4DC9">
        <w:rPr>
          <w:sz w:val="16"/>
          <w:szCs w:val="16"/>
        </w:rPr>
        <w:t>4</w:t>
      </w:r>
      <w:r w:rsidRPr="0025775A">
        <w:rPr>
          <w:sz w:val="16"/>
          <w:szCs w:val="16"/>
        </w:rPr>
        <w:t>v</w:t>
      </w:r>
      <w:r w:rsidR="00CF4DC9">
        <w:rPr>
          <w:sz w:val="16"/>
          <w:szCs w:val="16"/>
        </w:rPr>
        <w:t>2</w:t>
      </w:r>
      <w:r w:rsidRPr="0025775A">
        <w:rPr>
          <w:sz w:val="16"/>
          <w:szCs w:val="16"/>
        </w:rPr>
        <w:t xml:space="preserve">.0 </w:t>
      </w:r>
      <w:r w:rsidRPr="00293968">
        <w:rPr>
          <w:sz w:val="16"/>
          <w:szCs w:val="16"/>
        </w:rPr>
        <w:t>0</w:t>
      </w:r>
      <w:r w:rsidR="00541F01">
        <w:rPr>
          <w:sz w:val="16"/>
          <w:szCs w:val="16"/>
        </w:rPr>
        <w:t>6</w:t>
      </w:r>
      <w:r w:rsidRPr="00293968">
        <w:rPr>
          <w:sz w:val="16"/>
          <w:szCs w:val="16"/>
        </w:rPr>
        <w:t>/24</w:t>
      </w:r>
    </w:p>
    <w:p w14:paraId="67EAEF64" w14:textId="5A310000" w:rsidR="00BE445B" w:rsidRPr="00293968" w:rsidRDefault="00BE445B" w:rsidP="00B25993">
      <w:pPr>
        <w:spacing w:after="0" w:line="240" w:lineRule="auto"/>
        <w:rPr>
          <w:sz w:val="16"/>
          <w:szCs w:val="16"/>
        </w:rPr>
      </w:pPr>
    </w:p>
    <w:sectPr w:rsidR="00BE445B" w:rsidRPr="0029396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45DE" w14:textId="77777777" w:rsidR="006E2853" w:rsidRDefault="006E2853" w:rsidP="00B47FD3">
      <w:pPr>
        <w:spacing w:after="0" w:line="240" w:lineRule="auto"/>
      </w:pPr>
      <w:r>
        <w:separator/>
      </w:r>
    </w:p>
  </w:endnote>
  <w:endnote w:type="continuationSeparator" w:id="0">
    <w:p w14:paraId="44070C1D" w14:textId="77777777" w:rsidR="006E2853" w:rsidRDefault="006E2853" w:rsidP="00B47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393669"/>
      <w:docPartObj>
        <w:docPartGallery w:val="Page Numbers (Bottom of Page)"/>
        <w:docPartUnique/>
      </w:docPartObj>
    </w:sdtPr>
    <w:sdtEndPr>
      <w:rPr>
        <w:noProof/>
      </w:rPr>
    </w:sdtEndPr>
    <w:sdtContent>
      <w:p w14:paraId="4519C5B6" w14:textId="73698833" w:rsidR="00B47FD3" w:rsidRDefault="00B47F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209E2" w14:textId="77777777" w:rsidR="00B47FD3" w:rsidRDefault="00B4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6B979" w14:textId="77777777" w:rsidR="006E2853" w:rsidRDefault="006E2853" w:rsidP="00B47FD3">
      <w:pPr>
        <w:spacing w:after="0" w:line="240" w:lineRule="auto"/>
      </w:pPr>
      <w:r>
        <w:separator/>
      </w:r>
    </w:p>
  </w:footnote>
  <w:footnote w:type="continuationSeparator" w:id="0">
    <w:p w14:paraId="15F3EFC6" w14:textId="77777777" w:rsidR="006E2853" w:rsidRDefault="006E2853" w:rsidP="00B47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170"/>
    <w:multiLevelType w:val="hybridMultilevel"/>
    <w:tmpl w:val="E086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F475F"/>
    <w:multiLevelType w:val="hybridMultilevel"/>
    <w:tmpl w:val="2AA67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D5E77"/>
    <w:multiLevelType w:val="hybridMultilevel"/>
    <w:tmpl w:val="71AA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91B5B"/>
    <w:multiLevelType w:val="hybridMultilevel"/>
    <w:tmpl w:val="60DA2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BF0EAA"/>
    <w:multiLevelType w:val="hybridMultilevel"/>
    <w:tmpl w:val="6248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3470275">
    <w:abstractNumId w:val="3"/>
  </w:num>
  <w:num w:numId="2" w16cid:durableId="566844700">
    <w:abstractNumId w:val="2"/>
  </w:num>
  <w:num w:numId="3" w16cid:durableId="1908107721">
    <w:abstractNumId w:val="1"/>
  </w:num>
  <w:num w:numId="4" w16cid:durableId="1201626501">
    <w:abstractNumId w:val="4"/>
  </w:num>
  <w:num w:numId="5" w16cid:durableId="60447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80"/>
    <w:rsid w:val="00026FF5"/>
    <w:rsid w:val="000323B6"/>
    <w:rsid w:val="00042FA7"/>
    <w:rsid w:val="00050179"/>
    <w:rsid w:val="000532DB"/>
    <w:rsid w:val="00057B8A"/>
    <w:rsid w:val="00073285"/>
    <w:rsid w:val="00096A93"/>
    <w:rsid w:val="000A13F7"/>
    <w:rsid w:val="000B20BF"/>
    <w:rsid w:val="001113BD"/>
    <w:rsid w:val="00142B46"/>
    <w:rsid w:val="0015285C"/>
    <w:rsid w:val="00166157"/>
    <w:rsid w:val="001667A1"/>
    <w:rsid w:val="00176592"/>
    <w:rsid w:val="00197919"/>
    <w:rsid w:val="001A3662"/>
    <w:rsid w:val="001D0BBE"/>
    <w:rsid w:val="00203DE2"/>
    <w:rsid w:val="00223533"/>
    <w:rsid w:val="00234CA3"/>
    <w:rsid w:val="0025775A"/>
    <w:rsid w:val="002615E8"/>
    <w:rsid w:val="00273538"/>
    <w:rsid w:val="00283C6F"/>
    <w:rsid w:val="0028643F"/>
    <w:rsid w:val="00293968"/>
    <w:rsid w:val="002C0696"/>
    <w:rsid w:val="002C4FC2"/>
    <w:rsid w:val="002C645D"/>
    <w:rsid w:val="002D1477"/>
    <w:rsid w:val="002D5573"/>
    <w:rsid w:val="002D5F30"/>
    <w:rsid w:val="002F2E27"/>
    <w:rsid w:val="0031089B"/>
    <w:rsid w:val="003202D0"/>
    <w:rsid w:val="00326F23"/>
    <w:rsid w:val="003275E1"/>
    <w:rsid w:val="00332B9A"/>
    <w:rsid w:val="003473D7"/>
    <w:rsid w:val="003527C2"/>
    <w:rsid w:val="0036028A"/>
    <w:rsid w:val="003948F2"/>
    <w:rsid w:val="003978BF"/>
    <w:rsid w:val="003B02DF"/>
    <w:rsid w:val="003B19C9"/>
    <w:rsid w:val="003B2879"/>
    <w:rsid w:val="003C3B0A"/>
    <w:rsid w:val="003E7598"/>
    <w:rsid w:val="003F2C1E"/>
    <w:rsid w:val="003F4406"/>
    <w:rsid w:val="00413329"/>
    <w:rsid w:val="00425903"/>
    <w:rsid w:val="00434786"/>
    <w:rsid w:val="0044517F"/>
    <w:rsid w:val="004451E9"/>
    <w:rsid w:val="00485E15"/>
    <w:rsid w:val="004A514D"/>
    <w:rsid w:val="004C5287"/>
    <w:rsid w:val="004D314D"/>
    <w:rsid w:val="00502ED2"/>
    <w:rsid w:val="00515A30"/>
    <w:rsid w:val="005302F2"/>
    <w:rsid w:val="00541F01"/>
    <w:rsid w:val="0055545B"/>
    <w:rsid w:val="00572A17"/>
    <w:rsid w:val="005967EB"/>
    <w:rsid w:val="005A47EA"/>
    <w:rsid w:val="005B1BD1"/>
    <w:rsid w:val="005B2562"/>
    <w:rsid w:val="005E1996"/>
    <w:rsid w:val="005E702A"/>
    <w:rsid w:val="005F1F33"/>
    <w:rsid w:val="005F5093"/>
    <w:rsid w:val="00602A8D"/>
    <w:rsid w:val="006075B8"/>
    <w:rsid w:val="006105E3"/>
    <w:rsid w:val="0061304C"/>
    <w:rsid w:val="00615E12"/>
    <w:rsid w:val="00631516"/>
    <w:rsid w:val="00632D58"/>
    <w:rsid w:val="00651561"/>
    <w:rsid w:val="00663675"/>
    <w:rsid w:val="0068062F"/>
    <w:rsid w:val="00697448"/>
    <w:rsid w:val="006A3884"/>
    <w:rsid w:val="006E2853"/>
    <w:rsid w:val="006E5E1E"/>
    <w:rsid w:val="00717B97"/>
    <w:rsid w:val="00717BAC"/>
    <w:rsid w:val="00723E88"/>
    <w:rsid w:val="00744810"/>
    <w:rsid w:val="00762013"/>
    <w:rsid w:val="00767331"/>
    <w:rsid w:val="00782D4F"/>
    <w:rsid w:val="00784E20"/>
    <w:rsid w:val="00793160"/>
    <w:rsid w:val="007A1C5F"/>
    <w:rsid w:val="007B13AF"/>
    <w:rsid w:val="007C785F"/>
    <w:rsid w:val="007D0CB9"/>
    <w:rsid w:val="007D4F3C"/>
    <w:rsid w:val="007F103E"/>
    <w:rsid w:val="00803718"/>
    <w:rsid w:val="00804207"/>
    <w:rsid w:val="00816230"/>
    <w:rsid w:val="008725F1"/>
    <w:rsid w:val="008825C6"/>
    <w:rsid w:val="00882E77"/>
    <w:rsid w:val="008A702A"/>
    <w:rsid w:val="008B5603"/>
    <w:rsid w:val="008C1C5D"/>
    <w:rsid w:val="008D3AD4"/>
    <w:rsid w:val="008D5750"/>
    <w:rsid w:val="008E2B58"/>
    <w:rsid w:val="008E65C5"/>
    <w:rsid w:val="009053D2"/>
    <w:rsid w:val="00910D39"/>
    <w:rsid w:val="009327FD"/>
    <w:rsid w:val="009600C2"/>
    <w:rsid w:val="0098788D"/>
    <w:rsid w:val="00990728"/>
    <w:rsid w:val="00993C80"/>
    <w:rsid w:val="009D13E9"/>
    <w:rsid w:val="009D3DE8"/>
    <w:rsid w:val="009D6FF8"/>
    <w:rsid w:val="009F66E9"/>
    <w:rsid w:val="00A546F5"/>
    <w:rsid w:val="00A54905"/>
    <w:rsid w:val="00A56B08"/>
    <w:rsid w:val="00A76F8C"/>
    <w:rsid w:val="00A8571E"/>
    <w:rsid w:val="00A85CE5"/>
    <w:rsid w:val="00AC11D0"/>
    <w:rsid w:val="00AD1638"/>
    <w:rsid w:val="00AD662E"/>
    <w:rsid w:val="00B15898"/>
    <w:rsid w:val="00B238C2"/>
    <w:rsid w:val="00B25993"/>
    <w:rsid w:val="00B34F94"/>
    <w:rsid w:val="00B44899"/>
    <w:rsid w:val="00B47FD3"/>
    <w:rsid w:val="00B721DA"/>
    <w:rsid w:val="00B76728"/>
    <w:rsid w:val="00B76A27"/>
    <w:rsid w:val="00B77382"/>
    <w:rsid w:val="00B96363"/>
    <w:rsid w:val="00B96F22"/>
    <w:rsid w:val="00BB40A2"/>
    <w:rsid w:val="00BC2AE9"/>
    <w:rsid w:val="00BE445B"/>
    <w:rsid w:val="00BF0B2B"/>
    <w:rsid w:val="00C07FB6"/>
    <w:rsid w:val="00C26805"/>
    <w:rsid w:val="00C54184"/>
    <w:rsid w:val="00C75DC4"/>
    <w:rsid w:val="00C909D4"/>
    <w:rsid w:val="00CB0524"/>
    <w:rsid w:val="00CC7EE6"/>
    <w:rsid w:val="00CD2085"/>
    <w:rsid w:val="00CF4DC9"/>
    <w:rsid w:val="00D026A9"/>
    <w:rsid w:val="00D05435"/>
    <w:rsid w:val="00D135E9"/>
    <w:rsid w:val="00D20372"/>
    <w:rsid w:val="00D26E34"/>
    <w:rsid w:val="00D34100"/>
    <w:rsid w:val="00D47DE5"/>
    <w:rsid w:val="00D52399"/>
    <w:rsid w:val="00D533ED"/>
    <w:rsid w:val="00D53C32"/>
    <w:rsid w:val="00D5421C"/>
    <w:rsid w:val="00D5744B"/>
    <w:rsid w:val="00D60BC5"/>
    <w:rsid w:val="00D66A1B"/>
    <w:rsid w:val="00D7696B"/>
    <w:rsid w:val="00DA657C"/>
    <w:rsid w:val="00DC19B7"/>
    <w:rsid w:val="00E24E07"/>
    <w:rsid w:val="00E262C0"/>
    <w:rsid w:val="00E27C4B"/>
    <w:rsid w:val="00E42287"/>
    <w:rsid w:val="00E42B3C"/>
    <w:rsid w:val="00E515B5"/>
    <w:rsid w:val="00E8011A"/>
    <w:rsid w:val="00E81E0E"/>
    <w:rsid w:val="00EB1678"/>
    <w:rsid w:val="00EB71DB"/>
    <w:rsid w:val="00ED44D5"/>
    <w:rsid w:val="00EE7B0B"/>
    <w:rsid w:val="00F050F9"/>
    <w:rsid w:val="00F06033"/>
    <w:rsid w:val="00F5377A"/>
    <w:rsid w:val="00F80EBF"/>
    <w:rsid w:val="00F8448B"/>
    <w:rsid w:val="00F91940"/>
    <w:rsid w:val="00F92047"/>
    <w:rsid w:val="00FA3CC8"/>
    <w:rsid w:val="00FA5694"/>
    <w:rsid w:val="00FD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CD92"/>
  <w15:chartTrackingRefBased/>
  <w15:docId w15:val="{F4DA4569-18B3-4E43-BA6E-C9C88550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CE5"/>
    <w:pPr>
      <w:ind w:left="720"/>
      <w:contextualSpacing/>
    </w:pPr>
  </w:style>
  <w:style w:type="paragraph" w:styleId="Header">
    <w:name w:val="header"/>
    <w:basedOn w:val="Normal"/>
    <w:link w:val="HeaderChar"/>
    <w:uiPriority w:val="99"/>
    <w:unhideWhenUsed/>
    <w:rsid w:val="00B47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FD3"/>
  </w:style>
  <w:style w:type="paragraph" w:styleId="Footer">
    <w:name w:val="footer"/>
    <w:basedOn w:val="Normal"/>
    <w:link w:val="FooterChar"/>
    <w:uiPriority w:val="99"/>
    <w:unhideWhenUsed/>
    <w:rsid w:val="00B47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FD3"/>
  </w:style>
  <w:style w:type="character" w:styleId="Hyperlink">
    <w:name w:val="Hyperlink"/>
    <w:basedOn w:val="DefaultParagraphFont"/>
    <w:uiPriority w:val="99"/>
    <w:unhideWhenUsed/>
    <w:rsid w:val="00FA5694"/>
    <w:rPr>
      <w:color w:val="0563C1" w:themeColor="hyperlink"/>
      <w:u w:val="single"/>
    </w:rPr>
  </w:style>
  <w:style w:type="character" w:styleId="UnresolvedMention">
    <w:name w:val="Unresolved Mention"/>
    <w:basedOn w:val="DefaultParagraphFont"/>
    <w:uiPriority w:val="99"/>
    <w:semiHidden/>
    <w:unhideWhenUsed/>
    <w:rsid w:val="00FA5694"/>
    <w:rPr>
      <w:color w:val="605E5C"/>
      <w:shd w:val="clear" w:color="auto" w:fill="E1DFDD"/>
    </w:rPr>
  </w:style>
  <w:style w:type="character" w:styleId="FollowedHyperlink">
    <w:name w:val="FollowedHyperlink"/>
    <w:basedOn w:val="DefaultParagraphFont"/>
    <w:uiPriority w:val="99"/>
    <w:semiHidden/>
    <w:unhideWhenUsed/>
    <w:rsid w:val="00FA5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takeda.com/?contenttype=PI&amp;product=EOH&amp;language=ENG&amp;country=USA&amp;documentnumbe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ntent.takeda.com/?contenttype=PI&amp;product=EOH&amp;language=ENG&amp;country=USA&amp;documentnumber=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content.takeda.com/?contenttype=PI&amp;product=EOH&amp;language=ENG&amp;country=USA&amp;documentnumb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Kopia</dc:creator>
  <cp:keywords/>
  <dc:description/>
  <cp:lastModifiedBy>Irene Kopia</cp:lastModifiedBy>
  <cp:revision>24</cp:revision>
  <dcterms:created xsi:type="dcterms:W3CDTF">2024-05-13T19:34:00Z</dcterms:created>
  <dcterms:modified xsi:type="dcterms:W3CDTF">2024-05-23T13:56:00Z</dcterms:modified>
</cp:coreProperties>
</file>